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660350">
        <w:rPr>
          <w:b/>
          <w:sz w:val="28"/>
        </w:rPr>
        <w:t>Notes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B00924" w:rsidP="005857F2">
            <w:r>
              <w:t>January 16, 2019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3209E8" w:rsidP="000F2D64">
            <w:pPr>
              <w:rPr>
                <w:highlight w:val="yellow"/>
              </w:rPr>
            </w:pPr>
            <w:r w:rsidRPr="003209E8"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B00924">
            <w:r>
              <w:t>1:30-2:30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3209E8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660350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B00924">
            <w:r>
              <w:t>Sarah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5"/>
        <w:gridCol w:w="2259"/>
        <w:gridCol w:w="353"/>
        <w:gridCol w:w="1548"/>
        <w:gridCol w:w="354"/>
        <w:gridCol w:w="2221"/>
        <w:gridCol w:w="263"/>
      </w:tblGrid>
      <w:tr w:rsidR="00426709" w:rsidTr="006C1F89">
        <w:tc>
          <w:tcPr>
            <w:tcW w:w="75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6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8" w:type="pct"/>
            <w:shd w:val="clear" w:color="auto" w:fill="auto"/>
          </w:tcPr>
          <w:p w:rsidR="00426709" w:rsidRDefault="00660350" w:rsidP="00E2692C">
            <w:r>
              <w:t>x</w:t>
            </w:r>
          </w:p>
        </w:tc>
        <w:tc>
          <w:tcPr>
            <w:tcW w:w="937" w:type="pct"/>
            <w:shd w:val="clear" w:color="auto" w:fill="auto"/>
          </w:tcPr>
          <w:p w:rsidR="00426709" w:rsidRDefault="00AD5172" w:rsidP="00AD5172">
            <w:r>
              <w:t xml:space="preserve">Mindy Williams </w:t>
            </w:r>
          </w:p>
        </w:tc>
        <w:tc>
          <w:tcPr>
            <w:tcW w:w="218" w:type="pct"/>
            <w:shd w:val="clear" w:color="auto" w:fill="auto"/>
          </w:tcPr>
          <w:p w:rsidR="00426709" w:rsidRDefault="00660350" w:rsidP="00E2692C">
            <w:r>
              <w:t>x</w:t>
            </w:r>
          </w:p>
        </w:tc>
        <w:tc>
          <w:tcPr>
            <w:tcW w:w="1342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426709" w:rsidRDefault="00426709" w:rsidP="00E2692C"/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8" w:type="pct"/>
          </w:tcPr>
          <w:p w:rsidR="00426709" w:rsidRDefault="00660350" w:rsidP="00E2692C">
            <w:r>
              <w:t>x</w:t>
            </w:r>
          </w:p>
        </w:tc>
        <w:tc>
          <w:tcPr>
            <w:tcW w:w="937" w:type="pct"/>
          </w:tcPr>
          <w:p w:rsidR="00426709" w:rsidRDefault="00AD5172" w:rsidP="00E2692C">
            <w:r>
              <w:t>Sarah Fuller</w:t>
            </w:r>
          </w:p>
        </w:tc>
        <w:tc>
          <w:tcPr>
            <w:tcW w:w="218" w:type="pct"/>
          </w:tcPr>
          <w:p w:rsidR="00426709" w:rsidRDefault="00660350" w:rsidP="00E2692C">
            <w:r>
              <w:t>x</w:t>
            </w:r>
          </w:p>
        </w:tc>
        <w:tc>
          <w:tcPr>
            <w:tcW w:w="1342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63" w:type="pct"/>
          </w:tcPr>
          <w:p w:rsidR="00426709" w:rsidRDefault="00426709" w:rsidP="00E2692C"/>
        </w:tc>
      </w:tr>
      <w:tr w:rsidR="00426709" w:rsidTr="006C1F89">
        <w:trPr>
          <w:trHeight w:val="287"/>
        </w:trPr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8" w:type="pct"/>
          </w:tcPr>
          <w:p w:rsidR="00426709" w:rsidRDefault="00660350" w:rsidP="00E2692C">
            <w:r>
              <w:t>x</w:t>
            </w:r>
          </w:p>
        </w:tc>
        <w:tc>
          <w:tcPr>
            <w:tcW w:w="937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8" w:type="pct"/>
          </w:tcPr>
          <w:p w:rsidR="00426709" w:rsidRDefault="00660350" w:rsidP="00E2692C">
            <w:r>
              <w:t>x</w:t>
            </w:r>
          </w:p>
        </w:tc>
        <w:tc>
          <w:tcPr>
            <w:tcW w:w="1342" w:type="pct"/>
          </w:tcPr>
          <w:p w:rsidR="00426709" w:rsidRPr="00465A68" w:rsidRDefault="00426709" w:rsidP="00E2692C"/>
        </w:tc>
        <w:tc>
          <w:tcPr>
            <w:tcW w:w="163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8" w:type="pct"/>
          </w:tcPr>
          <w:p w:rsidR="00426709" w:rsidRDefault="00660350" w:rsidP="00E2692C">
            <w:r>
              <w:t>x</w:t>
            </w:r>
          </w:p>
        </w:tc>
        <w:tc>
          <w:tcPr>
            <w:tcW w:w="937" w:type="pct"/>
          </w:tcPr>
          <w:p w:rsidR="00426709" w:rsidRPr="006366BC" w:rsidRDefault="00AD5172" w:rsidP="00E2692C">
            <w:r>
              <w:t>Wayne Yeatman</w:t>
            </w:r>
          </w:p>
        </w:tc>
        <w:tc>
          <w:tcPr>
            <w:tcW w:w="218" w:type="pct"/>
          </w:tcPr>
          <w:p w:rsidR="00426709" w:rsidRDefault="00660350" w:rsidP="00E2692C">
            <w:r>
              <w:t>x</w:t>
            </w:r>
          </w:p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</w:tbl>
    <w:p w:rsidR="001E4BA4" w:rsidRDefault="001E4BA4"/>
    <w:p w:rsidR="00C12B7C" w:rsidRDefault="00C12B7C" w:rsidP="0050470F">
      <w:r>
        <w:t xml:space="preserve">Agenda </w:t>
      </w:r>
    </w:p>
    <w:p w:rsidR="00C12B7C" w:rsidRDefault="00C12B7C" w:rsidP="0050470F">
      <w:r>
        <w:t xml:space="preserve">(Action items and person responsible in </w:t>
      </w:r>
      <w:r w:rsidRPr="0050470F">
        <w:rPr>
          <w:color w:val="FF0000"/>
        </w:rPr>
        <w:t>red</w:t>
      </w:r>
      <w:r>
        <w:t>)</w:t>
      </w:r>
    </w:p>
    <w:p w:rsidR="006427E3" w:rsidRDefault="006427E3" w:rsidP="0050470F"/>
    <w:p w:rsidR="006427E3" w:rsidRDefault="006427E3" w:rsidP="0050470F">
      <w:pPr>
        <w:pStyle w:val="ListParagraph"/>
        <w:numPr>
          <w:ilvl w:val="0"/>
          <w:numId w:val="28"/>
        </w:numPr>
      </w:pPr>
      <w:r>
        <w:t>Call to order (5 minutes), Chair</w:t>
      </w:r>
    </w:p>
    <w:p w:rsidR="006427E3" w:rsidRDefault="006427E3" w:rsidP="0050470F">
      <w:pPr>
        <w:pStyle w:val="ListParagraph"/>
        <w:numPr>
          <w:ilvl w:val="1"/>
          <w:numId w:val="28"/>
        </w:numPr>
      </w:pPr>
      <w:r>
        <w:t>Review of previous meeting notes, All</w:t>
      </w:r>
    </w:p>
    <w:p w:rsidR="00660350" w:rsidRDefault="00660350" w:rsidP="00660350">
      <w:pPr>
        <w:ind w:left="1080"/>
      </w:pPr>
      <w:r>
        <w:t>Notes approved with no changes.</w:t>
      </w:r>
    </w:p>
    <w:p w:rsidR="003209E8" w:rsidRDefault="003209E8" w:rsidP="003209E8">
      <w:pPr>
        <w:pStyle w:val="ListParagraph"/>
        <w:ind w:left="1440"/>
      </w:pPr>
    </w:p>
    <w:p w:rsidR="003209E8" w:rsidRDefault="003209E8" w:rsidP="003209E8">
      <w:pPr>
        <w:pStyle w:val="ListParagraph"/>
        <w:numPr>
          <w:ilvl w:val="0"/>
          <w:numId w:val="28"/>
        </w:numPr>
        <w:contextualSpacing w:val="0"/>
      </w:pPr>
      <w:r>
        <w:t>Updates from deans re:workgroups (</w:t>
      </w:r>
      <w:r w:rsidRPr="003209E8">
        <w:rPr>
          <w:color w:val="FF0000"/>
        </w:rPr>
        <w:t>Sarah</w:t>
      </w:r>
      <w:r>
        <w:t>)</w:t>
      </w:r>
    </w:p>
    <w:p w:rsidR="00660350" w:rsidRDefault="00660350" w:rsidP="00660350">
      <w:r>
        <w:t>Sarah met with each instructional dean to check in on the status of feedback and to generally check in. Here are her notes:</w:t>
      </w:r>
    </w:p>
    <w:p w:rsidR="00660350" w:rsidRDefault="00660350" w:rsidP="00660350">
      <w:r>
        <w:t>Feedback from Deans about Workgroups for Review of Assessment Reports Fall 2019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t>All the deans thought that being involved with the review of projects early on was better than previously when they were just brought in at the end.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t>Expressed difficulty with finding time, scheduling.  Suggestion that maybe deans schedule the meetings next year with their groups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t>Julie’s group is finished and Julie delivering feedback this week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t>Jenni’s group only met once so far but has another meeting scheduled to finish project review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t>Michael’s group - ?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t xml:space="preserve">Liked working with the faculty within their own departments rather than faculty from outside disciplines – helped to inform the discussion – more efficient 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t xml:space="preserve">Best if the dean group could have experienced LOA members included to help write the feedback provide help with level of expectations – a group of all new members too LOA would find it harder to provide feedback efficiently 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t>Would like to have a cross-section of their discipline areas represented in their workgroups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t>Question the value of second reader approach – too time consuming?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t xml:space="preserve">Feedback language on rubrics – less concern with positivity, straightforward works 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t>Better file naming system for keeping track of the final versions and/or finding the reports (esp. from earlier years) – not immediately obvious where to look.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t>All liked the idea of a buddy system to assist individuals with projects prior to submission deadlines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t>Agreed that deans should be the ones to communicate with faculty whose projects are problematic but having a mentor resource might be helpful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t xml:space="preserve">Inequities in the assessment system – some faculty required to do a lot more than other faculty depending on the size of their discipline groups/courses. 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t>Some faculty need help with translating into the assessment “language”.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t>Deans are coming on board with their leadership role for the assessment system to work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lastRenderedPageBreak/>
        <w:t>Brought up submission deadlines – is Nov 1 too late.  Does this motivate faculty to really get to work and do the job on assessment day in September?  Is an earlier deadline better?  How would this work with a “buddy system” since help from buddy should precede submission.</w:t>
      </w:r>
    </w:p>
    <w:p w:rsidR="00660350" w:rsidRDefault="00660350" w:rsidP="00660350">
      <w:pPr>
        <w:pStyle w:val="ListParagraph"/>
        <w:numPr>
          <w:ilvl w:val="0"/>
          <w:numId w:val="30"/>
        </w:numPr>
        <w:spacing w:after="160" w:line="259" w:lineRule="auto"/>
      </w:pPr>
      <w:r>
        <w:t>Room assignments during assessment day – make sure that the dean groups are in close proximity – possibly near faculty offices – since some faculty chose to return to offices to work</w:t>
      </w:r>
    </w:p>
    <w:p w:rsidR="00C41501" w:rsidRPr="00C41501" w:rsidRDefault="00C41501" w:rsidP="00C41501">
      <w:pPr>
        <w:spacing w:after="160" w:line="259" w:lineRule="auto"/>
        <w:rPr>
          <w:color w:val="FF0000"/>
        </w:rPr>
      </w:pPr>
      <w:r w:rsidRPr="00C41501">
        <w:rPr>
          <w:color w:val="FF0000"/>
        </w:rPr>
        <w:t>Vickery will email the deans to s</w:t>
      </w:r>
      <w:bookmarkStart w:id="0" w:name="_GoBack"/>
      <w:bookmarkEnd w:id="0"/>
      <w:r w:rsidRPr="00C41501">
        <w:rPr>
          <w:color w:val="FF0000"/>
        </w:rPr>
        <w:t>ee if the rubrics can be moved into the folders with the reports (rather than the LOA workspace folder).</w:t>
      </w:r>
    </w:p>
    <w:p w:rsidR="00660350" w:rsidRDefault="00660350" w:rsidP="00660350">
      <w:r>
        <w:t>LOA conversation:</w:t>
      </w:r>
    </w:p>
    <w:p w:rsidR="003209E8" w:rsidRDefault="003209E8" w:rsidP="003209E8">
      <w:pPr>
        <w:pStyle w:val="ListParagraph"/>
        <w:numPr>
          <w:ilvl w:val="1"/>
          <w:numId w:val="28"/>
        </w:numPr>
        <w:contextualSpacing w:val="0"/>
      </w:pPr>
      <w:r>
        <w:t>How to support projects earlier in process next year: buddy system</w:t>
      </w:r>
      <w:r w:rsidR="00B00924">
        <w:t xml:space="preserve"> similar to PIRT</w:t>
      </w:r>
      <w:r>
        <w:t>? How would that look and fit into the timing of assessment day?</w:t>
      </w:r>
    </w:p>
    <w:p w:rsidR="00660350" w:rsidRDefault="003209E8" w:rsidP="001C7B2C">
      <w:pPr>
        <w:pStyle w:val="ListParagraph"/>
        <w:numPr>
          <w:ilvl w:val="1"/>
          <w:numId w:val="28"/>
        </w:numPr>
        <w:contextualSpacing w:val="0"/>
      </w:pPr>
      <w:r>
        <w:t>What to do about projects/reports that are significantly below expectations</w:t>
      </w:r>
      <w:r w:rsidR="00660350">
        <w:t>? Dean feedback confirmed that the deans would take this information back to faculty, rather than the committee.</w:t>
      </w:r>
    </w:p>
    <w:p w:rsidR="00660350" w:rsidRDefault="00660350" w:rsidP="001C7B2C">
      <w:pPr>
        <w:pStyle w:val="ListParagraph"/>
        <w:numPr>
          <w:ilvl w:val="1"/>
          <w:numId w:val="28"/>
        </w:numPr>
        <w:contextualSpacing w:val="0"/>
      </w:pPr>
      <w:r>
        <w:t xml:space="preserve">The second reader was more helpful last year, when this was a newer process. The rubric and feedback process were still in development. This year, we are more familiar with the process. </w:t>
      </w:r>
    </w:p>
    <w:p w:rsidR="00660350" w:rsidRDefault="00660350" w:rsidP="001C7B2C">
      <w:pPr>
        <w:pStyle w:val="ListParagraph"/>
        <w:numPr>
          <w:ilvl w:val="1"/>
          <w:numId w:val="28"/>
        </w:numPr>
        <w:contextualSpacing w:val="0"/>
      </w:pPr>
      <w:r>
        <w:t>Filing naming convention—we could look at sorting by program/course rather than by year of plan (though there are some complexities there). We need something that works for the duration, as we will accumulate more reports over time.</w:t>
      </w:r>
    </w:p>
    <w:p w:rsidR="00660350" w:rsidRDefault="00660350" w:rsidP="001C7B2C">
      <w:pPr>
        <w:pStyle w:val="ListParagraph"/>
        <w:numPr>
          <w:ilvl w:val="1"/>
          <w:numId w:val="28"/>
        </w:numPr>
        <w:contextualSpacing w:val="0"/>
      </w:pPr>
      <w:r>
        <w:t xml:space="preserve">Nov. 1 deadline-is that too late? How can we get faculty to make full use of the assessment day. </w:t>
      </w:r>
    </w:p>
    <w:p w:rsidR="00660350" w:rsidRDefault="00660350" w:rsidP="001C7B2C">
      <w:pPr>
        <w:pStyle w:val="ListParagraph"/>
        <w:numPr>
          <w:ilvl w:val="1"/>
          <w:numId w:val="28"/>
        </w:numPr>
        <w:contextualSpacing w:val="0"/>
      </w:pPr>
      <w:r>
        <w:t>GEG leads as committee members? May encourage a change in terms of membership (3 years for CTE/Transfer, 2 years for GEG leads?)</w:t>
      </w:r>
    </w:p>
    <w:p w:rsidR="00660350" w:rsidRDefault="00660350" w:rsidP="001C7B2C">
      <w:pPr>
        <w:pStyle w:val="ListParagraph"/>
        <w:numPr>
          <w:ilvl w:val="1"/>
          <w:numId w:val="28"/>
        </w:numPr>
        <w:contextualSpacing w:val="0"/>
      </w:pPr>
      <w:r>
        <w:t>Issues needing to be hashed out:</w:t>
      </w:r>
    </w:p>
    <w:p w:rsidR="00660350" w:rsidRDefault="00660350" w:rsidP="00660350">
      <w:pPr>
        <w:pStyle w:val="ListParagraph"/>
        <w:numPr>
          <w:ilvl w:val="2"/>
          <w:numId w:val="28"/>
        </w:numPr>
        <w:contextualSpacing w:val="0"/>
      </w:pPr>
      <w:r>
        <w:t xml:space="preserve">Timing </w:t>
      </w:r>
    </w:p>
    <w:p w:rsidR="00660350" w:rsidRDefault="00660350" w:rsidP="00660350">
      <w:pPr>
        <w:pStyle w:val="ListParagraph"/>
        <w:numPr>
          <w:ilvl w:val="2"/>
          <w:numId w:val="28"/>
        </w:numPr>
        <w:contextualSpacing w:val="0"/>
      </w:pPr>
      <w:r>
        <w:t>Buddy system</w:t>
      </w:r>
    </w:p>
    <w:p w:rsidR="00660350" w:rsidRDefault="00660350" w:rsidP="00660350">
      <w:pPr>
        <w:pStyle w:val="ListParagraph"/>
        <w:numPr>
          <w:ilvl w:val="2"/>
          <w:numId w:val="28"/>
        </w:numPr>
        <w:contextualSpacing w:val="0"/>
      </w:pPr>
      <w:r>
        <w:t>Committee structure</w:t>
      </w:r>
    </w:p>
    <w:p w:rsidR="00660350" w:rsidRDefault="00660350" w:rsidP="00660350"/>
    <w:p w:rsidR="003209E8" w:rsidRDefault="003209E8" w:rsidP="003209E8">
      <w:pPr>
        <w:pStyle w:val="ListParagraph"/>
        <w:numPr>
          <w:ilvl w:val="0"/>
          <w:numId w:val="28"/>
        </w:numPr>
        <w:contextualSpacing w:val="0"/>
      </w:pPr>
      <w:r>
        <w:t>Closing the loop expectations: discussion continued from parking lot</w:t>
      </w:r>
    </w:p>
    <w:p w:rsidR="00660350" w:rsidRDefault="00660350" w:rsidP="00660350">
      <w:pPr>
        <w:pStyle w:val="ListParagraph"/>
        <w:numPr>
          <w:ilvl w:val="1"/>
          <w:numId w:val="28"/>
        </w:numPr>
        <w:contextualSpacing w:val="0"/>
      </w:pPr>
      <w:r>
        <w:t xml:space="preserve">Vickery summarized the conference sponsored by NWCCU with Dr. Jillian Kinzie; she confirmed that closing the loop as we have defined it is an important (and challenging) part of current learning outcome assessment thinking. </w:t>
      </w:r>
      <w:r w:rsidR="00C41501">
        <w:t>Also, major emphasis on improving learning (vs. compliance or focus on quality data collection/analysis)</w:t>
      </w:r>
    </w:p>
    <w:p w:rsidR="00660350" w:rsidRDefault="00660350" w:rsidP="00660350">
      <w:pPr>
        <w:pStyle w:val="ListParagraph"/>
        <w:numPr>
          <w:ilvl w:val="2"/>
          <w:numId w:val="28"/>
        </w:numPr>
        <w:contextualSpacing w:val="0"/>
      </w:pPr>
      <w:r>
        <w:t>Can we get Betsy to give us a summary of this session?</w:t>
      </w:r>
    </w:p>
    <w:p w:rsidR="003209E8" w:rsidRDefault="003209E8" w:rsidP="003209E8">
      <w:pPr>
        <w:pStyle w:val="ListParagraph"/>
        <w:contextualSpacing w:val="0"/>
      </w:pPr>
    </w:p>
    <w:p w:rsidR="003209E8" w:rsidRDefault="003209E8" w:rsidP="003209E8">
      <w:pPr>
        <w:pStyle w:val="ListParagraph"/>
        <w:numPr>
          <w:ilvl w:val="0"/>
          <w:numId w:val="28"/>
        </w:numPr>
        <w:contextualSpacing w:val="0"/>
      </w:pPr>
      <w:r>
        <w:t>Work plan for future meetings</w:t>
      </w:r>
    </w:p>
    <w:p w:rsidR="003209E8" w:rsidRDefault="003209E8" w:rsidP="003209E8">
      <w:pPr>
        <w:pStyle w:val="ListParagraph"/>
        <w:numPr>
          <w:ilvl w:val="1"/>
          <w:numId w:val="28"/>
        </w:numPr>
        <w:contextualSpacing w:val="0"/>
      </w:pPr>
      <w:r>
        <w:t xml:space="preserve">Picking exemplary projects – sooner rather than later – while still fresh in our minds </w:t>
      </w:r>
    </w:p>
    <w:p w:rsidR="003209E8" w:rsidRDefault="003209E8" w:rsidP="003209E8">
      <w:pPr>
        <w:pStyle w:val="ListParagraph"/>
        <w:ind w:left="1440"/>
        <w:contextualSpacing w:val="0"/>
      </w:pPr>
      <w:r>
        <w:t>(</w:t>
      </w:r>
      <w:r w:rsidR="00C41501">
        <w:t>January 30</w:t>
      </w:r>
      <w:r>
        <w:t>)</w:t>
      </w:r>
    </w:p>
    <w:p w:rsidR="00C41501" w:rsidRPr="00C41501" w:rsidRDefault="00C41501" w:rsidP="003209E8">
      <w:pPr>
        <w:pStyle w:val="ListParagraph"/>
        <w:ind w:left="1440"/>
        <w:contextualSpacing w:val="0"/>
        <w:rPr>
          <w:color w:val="FF0000"/>
        </w:rPr>
      </w:pPr>
      <w:r w:rsidRPr="00C41501">
        <w:rPr>
          <w:color w:val="FF0000"/>
        </w:rPr>
        <w:t>Homework for all members: Come to January 30 meeting with one or two projects to nominate for recognition for either an exemplary characteristic, improvements to learning (and possibly now or in the future, for a complete project)</w:t>
      </w:r>
    </w:p>
    <w:p w:rsidR="003209E8" w:rsidRDefault="003209E8" w:rsidP="003209E8">
      <w:pPr>
        <w:pStyle w:val="ListParagraph"/>
        <w:numPr>
          <w:ilvl w:val="1"/>
          <w:numId w:val="28"/>
        </w:numPr>
        <w:contextualSpacing w:val="0"/>
      </w:pPr>
      <w:r>
        <w:t>Update on how many scheduled projects were not turned in (</w:t>
      </w:r>
      <w:r w:rsidR="00C41501">
        <w:t>January 30)</w:t>
      </w:r>
    </w:p>
    <w:p w:rsidR="003209E8" w:rsidRDefault="003209E8" w:rsidP="003209E8">
      <w:pPr>
        <w:pStyle w:val="ListParagraph"/>
        <w:numPr>
          <w:ilvl w:val="1"/>
          <w:numId w:val="28"/>
        </w:numPr>
        <w:contextualSpacing w:val="0"/>
      </w:pPr>
      <w:r>
        <w:t>Forms updates based upon our work reading the projects (Feb 13</w:t>
      </w:r>
      <w:r w:rsidRPr="003209E8">
        <w:rPr>
          <w:vertAlign w:val="superscript"/>
        </w:rPr>
        <w:t>th</w:t>
      </w:r>
      <w:r>
        <w:t>)</w:t>
      </w:r>
    </w:p>
    <w:p w:rsidR="00AD5172" w:rsidRDefault="003209E8" w:rsidP="003209E8">
      <w:pPr>
        <w:pStyle w:val="ListParagraph"/>
        <w:numPr>
          <w:ilvl w:val="1"/>
          <w:numId w:val="28"/>
        </w:numPr>
      </w:pPr>
      <w:r>
        <w:t>Assessment Day planning (spring term)</w:t>
      </w:r>
    </w:p>
    <w:p w:rsidR="00AD5172" w:rsidRDefault="00AD5172" w:rsidP="0050470F"/>
    <w:p w:rsidR="002D15F2" w:rsidRDefault="002D15F2" w:rsidP="002D15F2">
      <w:r>
        <w:t>Winter meetings:</w:t>
      </w:r>
    </w:p>
    <w:p w:rsidR="002D15F2" w:rsidRDefault="002D15F2" w:rsidP="002D15F2">
      <w:r>
        <w:t>Wednesday, January 16, 2019</w:t>
      </w:r>
    </w:p>
    <w:p w:rsidR="00C41501" w:rsidRDefault="00C41501" w:rsidP="00C41501">
      <w:r>
        <w:t>Wednesday, January 30</w:t>
      </w:r>
      <w:r>
        <w:t>, 2019</w:t>
      </w:r>
    </w:p>
    <w:p w:rsidR="002D15F2" w:rsidRDefault="002D15F2" w:rsidP="002D15F2">
      <w:r>
        <w:t>Wednesday, February 13, 2019</w:t>
      </w:r>
    </w:p>
    <w:p w:rsidR="002D15F2" w:rsidRDefault="002D15F2" w:rsidP="002D15F2">
      <w:r>
        <w:t>Wednesday, February 27, 2019</w:t>
      </w:r>
    </w:p>
    <w:p w:rsidR="002D15F2" w:rsidRDefault="002D15F2" w:rsidP="002D15F2">
      <w:r>
        <w:t>Wednesday, March 13, 2019</w:t>
      </w:r>
    </w:p>
    <w:p w:rsidR="00BB3A5A" w:rsidRDefault="00BB3A5A" w:rsidP="0050470F"/>
    <w:p w:rsidR="009A3CCE" w:rsidRPr="00F1000A" w:rsidRDefault="009A3CCE" w:rsidP="0050470F">
      <w:pPr>
        <w:rPr>
          <w:color w:val="000000" w:themeColor="text1"/>
        </w:rPr>
      </w:pPr>
      <w:r w:rsidRPr="00F1000A">
        <w:rPr>
          <w:color w:val="000000" w:themeColor="text1"/>
        </w:rPr>
        <w:t>Parking Lot/Future meetings:</w:t>
      </w:r>
    </w:p>
    <w:p w:rsidR="009A3CCE" w:rsidRPr="00F1000A" w:rsidRDefault="009A3CCE" w:rsidP="0050470F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Cycle for GE courses offered with very little frequency</w:t>
      </w:r>
    </w:p>
    <w:p w:rsidR="009A3CCE" w:rsidRPr="00F1000A" w:rsidRDefault="009A3CCE" w:rsidP="0050470F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Closing the loop: measuring twice</w:t>
      </w:r>
    </w:p>
    <w:p w:rsidR="009A3CCE" w:rsidRPr="00C41501" w:rsidRDefault="009A3CCE" w:rsidP="00A14D20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C41501">
        <w:rPr>
          <w:color w:val="000000" w:themeColor="text1"/>
        </w:rPr>
        <w:t xml:space="preserve">Lead or captain for GEGs? </w:t>
      </w:r>
    </w:p>
    <w:p w:rsidR="009A3CCE" w:rsidRPr="00F1000A" w:rsidRDefault="009A3CCE" w:rsidP="009A3CCE">
      <w:pPr>
        <w:ind w:firstLine="450"/>
        <w:rPr>
          <w:color w:val="000000" w:themeColor="text1"/>
        </w:rPr>
      </w:pPr>
    </w:p>
    <w:p w:rsidR="00C12B7C" w:rsidRPr="00C80F7A" w:rsidRDefault="00C12B7C" w:rsidP="00EC114C"/>
    <w:sectPr w:rsidR="00C12B7C" w:rsidRPr="00C80F7A" w:rsidSect="009A3C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C41501">
              <w:rPr>
                <w:b/>
                <w:bCs/>
                <w:noProof/>
                <w:sz w:val="16"/>
                <w:szCs w:val="16"/>
              </w:rPr>
              <w:t>2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6A3E"/>
    <w:multiLevelType w:val="hybridMultilevel"/>
    <w:tmpl w:val="204C7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A6847"/>
    <w:multiLevelType w:val="hybridMultilevel"/>
    <w:tmpl w:val="6C124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5"/>
  </w:num>
  <w:num w:numId="4">
    <w:abstractNumId w:val="29"/>
  </w:num>
  <w:num w:numId="5">
    <w:abstractNumId w:val="4"/>
  </w:num>
  <w:num w:numId="6">
    <w:abstractNumId w:val="27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10"/>
  </w:num>
  <w:num w:numId="13">
    <w:abstractNumId w:val="15"/>
  </w:num>
  <w:num w:numId="14">
    <w:abstractNumId w:val="16"/>
  </w:num>
  <w:num w:numId="15">
    <w:abstractNumId w:val="2"/>
  </w:num>
  <w:num w:numId="16">
    <w:abstractNumId w:val="25"/>
  </w:num>
  <w:num w:numId="17">
    <w:abstractNumId w:val="14"/>
  </w:num>
  <w:num w:numId="18">
    <w:abstractNumId w:val="28"/>
  </w:num>
  <w:num w:numId="19">
    <w:abstractNumId w:val="21"/>
  </w:num>
  <w:num w:numId="20">
    <w:abstractNumId w:val="12"/>
  </w:num>
  <w:num w:numId="21">
    <w:abstractNumId w:val="22"/>
  </w:num>
  <w:num w:numId="22">
    <w:abstractNumId w:val="3"/>
  </w:num>
  <w:num w:numId="23">
    <w:abstractNumId w:val="11"/>
  </w:num>
  <w:num w:numId="24">
    <w:abstractNumId w:val="0"/>
  </w:num>
  <w:num w:numId="25">
    <w:abstractNumId w:val="23"/>
  </w:num>
  <w:num w:numId="26">
    <w:abstractNumId w:val="18"/>
  </w:num>
  <w:num w:numId="27">
    <w:abstractNumId w:val="17"/>
  </w:num>
  <w:num w:numId="28">
    <w:abstractNumId w:val="2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D15F2"/>
    <w:rsid w:val="002E1D79"/>
    <w:rsid w:val="002F487E"/>
    <w:rsid w:val="003169F0"/>
    <w:rsid w:val="003209E8"/>
    <w:rsid w:val="00320C7F"/>
    <w:rsid w:val="003261DA"/>
    <w:rsid w:val="00345783"/>
    <w:rsid w:val="003701E5"/>
    <w:rsid w:val="00374339"/>
    <w:rsid w:val="00374B17"/>
    <w:rsid w:val="003A71A4"/>
    <w:rsid w:val="003B4EFA"/>
    <w:rsid w:val="003C6F5A"/>
    <w:rsid w:val="003C74F9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60350"/>
    <w:rsid w:val="0067227F"/>
    <w:rsid w:val="00673BA9"/>
    <w:rsid w:val="00675B30"/>
    <w:rsid w:val="006B0FA5"/>
    <w:rsid w:val="006C1F89"/>
    <w:rsid w:val="006D0D3D"/>
    <w:rsid w:val="006D6A53"/>
    <w:rsid w:val="0071574A"/>
    <w:rsid w:val="00716DFB"/>
    <w:rsid w:val="00727BD3"/>
    <w:rsid w:val="00744D10"/>
    <w:rsid w:val="0078182E"/>
    <w:rsid w:val="007A5F8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A3CCE"/>
    <w:rsid w:val="009B4598"/>
    <w:rsid w:val="009B684E"/>
    <w:rsid w:val="00A82711"/>
    <w:rsid w:val="00AD26E6"/>
    <w:rsid w:val="00AD5172"/>
    <w:rsid w:val="00AD577B"/>
    <w:rsid w:val="00B00924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12B7C"/>
    <w:rsid w:val="00C41501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B612523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98F4-4C8A-49F1-84C1-ACC9773D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Decker</dc:creator>
  <cp:lastModifiedBy>Vickery Viles</cp:lastModifiedBy>
  <cp:revision>2</cp:revision>
  <cp:lastPrinted>2015-04-14T18:24:00Z</cp:lastPrinted>
  <dcterms:created xsi:type="dcterms:W3CDTF">2019-01-17T00:17:00Z</dcterms:created>
  <dcterms:modified xsi:type="dcterms:W3CDTF">2019-01-17T00:17:00Z</dcterms:modified>
</cp:coreProperties>
</file>