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11" w:rsidRDefault="00FF7711" w:rsidP="00FF7711">
      <w:pPr>
        <w:jc w:val="center"/>
        <w:rPr>
          <w:b/>
          <w:bCs/>
          <w:smallCaps/>
        </w:rPr>
      </w:pPr>
      <w:r>
        <w:rPr>
          <w:b/>
          <w:bCs/>
          <w:smallCaps/>
        </w:rPr>
        <w:t xml:space="preserve">Central Oregon Community College </w:t>
      </w:r>
    </w:p>
    <w:p w:rsidR="00FF7711" w:rsidRDefault="00FF7711" w:rsidP="00FF7711">
      <w:pPr>
        <w:jc w:val="center"/>
        <w:rPr>
          <w:b/>
          <w:bCs/>
          <w:sz w:val="28"/>
          <w:szCs w:val="28"/>
          <w:u w:val="single"/>
        </w:rPr>
      </w:pPr>
      <w:r>
        <w:rPr>
          <w:b/>
          <w:bCs/>
          <w:sz w:val="28"/>
          <w:szCs w:val="28"/>
        </w:rPr>
        <w:t>Learning Outcomes and Assessment Committee Meeting Notes</w:t>
      </w:r>
    </w:p>
    <w:p w:rsidR="00FF7711" w:rsidRDefault="00FF7711" w:rsidP="00FF7711">
      <w:pPr>
        <w:jc w:val="center"/>
        <w:rPr>
          <w:b/>
          <w:bCs/>
          <w:sz w:val="28"/>
          <w:szCs w:val="28"/>
        </w:rPr>
      </w:pPr>
    </w:p>
    <w:tbl>
      <w:tblPr>
        <w:tblW w:w="4438" w:type="pct"/>
        <w:tblCellMar>
          <w:left w:w="0" w:type="dxa"/>
          <w:right w:w="0" w:type="dxa"/>
        </w:tblCellMar>
        <w:tblLook w:val="04A0" w:firstRow="1" w:lastRow="0" w:firstColumn="1" w:lastColumn="0" w:noHBand="0" w:noVBand="1"/>
      </w:tblPr>
      <w:tblGrid>
        <w:gridCol w:w="825"/>
        <w:gridCol w:w="2954"/>
        <w:gridCol w:w="1592"/>
        <w:gridCol w:w="2919"/>
      </w:tblGrid>
      <w:tr w:rsidR="00FF7711" w:rsidTr="00FF7711">
        <w:tc>
          <w:tcPr>
            <w:tcW w:w="487" w:type="pct"/>
            <w:tcBorders>
              <w:top w:val="single" w:sz="8" w:space="0" w:color="auto"/>
              <w:left w:val="single" w:sz="8" w:space="0" w:color="auto"/>
              <w:bottom w:val="single" w:sz="8" w:space="0" w:color="auto"/>
              <w:right w:val="single" w:sz="8" w:space="0" w:color="auto"/>
            </w:tcBorders>
            <w:shd w:val="clear" w:color="auto" w:fill="538135"/>
            <w:tcMar>
              <w:top w:w="0" w:type="dxa"/>
              <w:left w:w="108" w:type="dxa"/>
              <w:bottom w:w="0" w:type="dxa"/>
              <w:right w:w="108" w:type="dxa"/>
            </w:tcMar>
            <w:hideMark/>
          </w:tcPr>
          <w:p w:rsidR="00FF7711" w:rsidRDefault="00FF7711">
            <w:pPr>
              <w:rPr>
                <w:b/>
                <w:bCs/>
              </w:rPr>
            </w:pPr>
            <w:r>
              <w:rPr>
                <w:b/>
                <w:bCs/>
              </w:rPr>
              <w:t>Date:</w:t>
            </w:r>
          </w:p>
        </w:tc>
        <w:tc>
          <w:tcPr>
            <w:tcW w:w="18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11" w:rsidRDefault="00FF7711">
            <w:r>
              <w:t>11/30/2018</w:t>
            </w:r>
          </w:p>
        </w:tc>
        <w:tc>
          <w:tcPr>
            <w:tcW w:w="829" w:type="pct"/>
            <w:tcBorders>
              <w:top w:val="single" w:sz="8" w:space="0" w:color="auto"/>
              <w:left w:val="nil"/>
              <w:bottom w:val="single" w:sz="8" w:space="0" w:color="auto"/>
              <w:right w:val="single" w:sz="8" w:space="0" w:color="auto"/>
            </w:tcBorders>
            <w:shd w:val="clear" w:color="auto" w:fill="538135"/>
            <w:tcMar>
              <w:top w:w="0" w:type="dxa"/>
              <w:left w:w="108" w:type="dxa"/>
              <w:bottom w:w="0" w:type="dxa"/>
              <w:right w:w="108" w:type="dxa"/>
            </w:tcMar>
            <w:hideMark/>
          </w:tcPr>
          <w:p w:rsidR="00FF7711" w:rsidRDefault="00FF7711">
            <w:pPr>
              <w:rPr>
                <w:b/>
                <w:bCs/>
              </w:rPr>
            </w:pPr>
            <w:r>
              <w:rPr>
                <w:b/>
                <w:bCs/>
              </w:rPr>
              <w:t>Facilitator(s):</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11" w:rsidRDefault="00FF7711">
            <w:pPr>
              <w:rPr>
                <w:highlight w:val="yellow"/>
              </w:rPr>
            </w:pPr>
            <w:r>
              <w:rPr>
                <w:highlight w:val="yellow"/>
              </w:rPr>
              <w:t>Sarah</w:t>
            </w:r>
          </w:p>
        </w:tc>
      </w:tr>
      <w:tr w:rsidR="00FF7711" w:rsidTr="00FF7711">
        <w:tc>
          <w:tcPr>
            <w:tcW w:w="487" w:type="pct"/>
            <w:tcBorders>
              <w:top w:val="nil"/>
              <w:left w:val="single" w:sz="8" w:space="0" w:color="auto"/>
              <w:bottom w:val="single" w:sz="8" w:space="0" w:color="auto"/>
              <w:right w:val="single" w:sz="8" w:space="0" w:color="auto"/>
            </w:tcBorders>
            <w:shd w:val="clear" w:color="auto" w:fill="538135"/>
            <w:tcMar>
              <w:top w:w="0" w:type="dxa"/>
              <w:left w:w="108" w:type="dxa"/>
              <w:bottom w:w="0" w:type="dxa"/>
              <w:right w:w="108" w:type="dxa"/>
            </w:tcMar>
            <w:hideMark/>
          </w:tcPr>
          <w:p w:rsidR="00FF7711" w:rsidRDefault="00FF7711">
            <w:pPr>
              <w:rPr>
                <w:b/>
                <w:bCs/>
              </w:rPr>
            </w:pPr>
            <w:r>
              <w:rPr>
                <w:b/>
                <w:bCs/>
              </w:rPr>
              <w:t>Time:</w:t>
            </w:r>
          </w:p>
        </w:tc>
        <w:tc>
          <w:tcPr>
            <w:tcW w:w="1853"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2:30-3:30 pm</w:t>
            </w:r>
          </w:p>
        </w:tc>
        <w:tc>
          <w:tcPr>
            <w:tcW w:w="829" w:type="pct"/>
            <w:tcBorders>
              <w:top w:val="nil"/>
              <w:left w:val="nil"/>
              <w:bottom w:val="single" w:sz="8" w:space="0" w:color="auto"/>
              <w:right w:val="single" w:sz="8" w:space="0" w:color="auto"/>
            </w:tcBorders>
            <w:shd w:val="clear" w:color="auto" w:fill="538135"/>
            <w:tcMar>
              <w:top w:w="0" w:type="dxa"/>
              <w:left w:w="108" w:type="dxa"/>
              <w:bottom w:w="0" w:type="dxa"/>
              <w:right w:w="108" w:type="dxa"/>
            </w:tcMar>
            <w:hideMark/>
          </w:tcPr>
          <w:p w:rsidR="00FF7711" w:rsidRDefault="00FF7711">
            <w:pPr>
              <w:rPr>
                <w:b/>
                <w:bCs/>
              </w:rPr>
            </w:pPr>
            <w:r>
              <w:rPr>
                <w:b/>
                <w:bCs/>
              </w:rPr>
              <w:t>Notes:</w:t>
            </w:r>
          </w:p>
        </w:tc>
        <w:tc>
          <w:tcPr>
            <w:tcW w:w="1831"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Vickery</w:t>
            </w:r>
          </w:p>
        </w:tc>
      </w:tr>
      <w:tr w:rsidR="00FF7711" w:rsidTr="00FF7711">
        <w:tc>
          <w:tcPr>
            <w:tcW w:w="487" w:type="pct"/>
            <w:tcBorders>
              <w:top w:val="nil"/>
              <w:left w:val="single" w:sz="8" w:space="0" w:color="auto"/>
              <w:bottom w:val="single" w:sz="8" w:space="0" w:color="auto"/>
              <w:right w:val="single" w:sz="8" w:space="0" w:color="auto"/>
            </w:tcBorders>
            <w:shd w:val="clear" w:color="auto" w:fill="538135"/>
            <w:tcMar>
              <w:top w:w="0" w:type="dxa"/>
              <w:left w:w="108" w:type="dxa"/>
              <w:bottom w:w="0" w:type="dxa"/>
              <w:right w:w="108" w:type="dxa"/>
            </w:tcMar>
            <w:hideMark/>
          </w:tcPr>
          <w:p w:rsidR="00FF7711" w:rsidRDefault="00FF7711">
            <w:pPr>
              <w:rPr>
                <w:b/>
                <w:bCs/>
              </w:rPr>
            </w:pPr>
            <w:r>
              <w:rPr>
                <w:b/>
                <w:bCs/>
              </w:rPr>
              <w:t>Place:</w:t>
            </w:r>
          </w:p>
        </w:tc>
        <w:tc>
          <w:tcPr>
            <w:tcW w:w="1853"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HCC 301</w:t>
            </w:r>
          </w:p>
        </w:tc>
        <w:tc>
          <w:tcPr>
            <w:tcW w:w="829" w:type="pct"/>
            <w:tcBorders>
              <w:top w:val="nil"/>
              <w:left w:val="nil"/>
              <w:bottom w:val="single" w:sz="8" w:space="0" w:color="auto"/>
              <w:right w:val="single" w:sz="8" w:space="0" w:color="auto"/>
            </w:tcBorders>
            <w:shd w:val="clear" w:color="auto" w:fill="538135"/>
            <w:tcMar>
              <w:top w:w="0" w:type="dxa"/>
              <w:left w:w="108" w:type="dxa"/>
              <w:bottom w:w="0" w:type="dxa"/>
              <w:right w:w="108" w:type="dxa"/>
            </w:tcMar>
            <w:hideMark/>
          </w:tcPr>
          <w:p w:rsidR="00FF7711" w:rsidRDefault="00FF7711">
            <w:pPr>
              <w:rPr>
                <w:b/>
                <w:bCs/>
              </w:rPr>
            </w:pPr>
            <w:r>
              <w:rPr>
                <w:b/>
                <w:bCs/>
              </w:rPr>
              <w:t>Agenda Maker:</w:t>
            </w:r>
          </w:p>
        </w:tc>
        <w:tc>
          <w:tcPr>
            <w:tcW w:w="1831"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Sarah</w:t>
            </w:r>
          </w:p>
        </w:tc>
      </w:tr>
    </w:tbl>
    <w:p w:rsidR="00FF7711" w:rsidRDefault="00FF7711" w:rsidP="00FF7711">
      <w:pPr>
        <w:rPr>
          <w:rFonts w:eastAsiaTheme="minorHAnsi"/>
        </w:rPr>
      </w:pPr>
    </w:p>
    <w:tbl>
      <w:tblPr>
        <w:tblW w:w="4440" w:type="pct"/>
        <w:tblCellMar>
          <w:left w:w="0" w:type="dxa"/>
          <w:right w:w="0" w:type="dxa"/>
        </w:tblCellMar>
        <w:tblLook w:val="04A0" w:firstRow="1" w:lastRow="0" w:firstColumn="1" w:lastColumn="0" w:noHBand="0" w:noVBand="1"/>
      </w:tblPr>
      <w:tblGrid>
        <w:gridCol w:w="1305"/>
        <w:gridCol w:w="2257"/>
        <w:gridCol w:w="353"/>
        <w:gridCol w:w="1545"/>
        <w:gridCol w:w="354"/>
        <w:gridCol w:w="2218"/>
        <w:gridCol w:w="262"/>
      </w:tblGrid>
      <w:tr w:rsidR="00FF7711" w:rsidTr="00FF7711">
        <w:tc>
          <w:tcPr>
            <w:tcW w:w="756" w:type="pct"/>
            <w:vMerge w:val="restart"/>
            <w:tcBorders>
              <w:top w:val="single" w:sz="8" w:space="0" w:color="auto"/>
              <w:left w:val="single" w:sz="8" w:space="0" w:color="auto"/>
              <w:bottom w:val="single" w:sz="8" w:space="0" w:color="auto"/>
              <w:right w:val="single" w:sz="8" w:space="0" w:color="auto"/>
            </w:tcBorders>
            <w:shd w:val="clear" w:color="auto" w:fill="538135"/>
            <w:tcMar>
              <w:top w:w="0" w:type="dxa"/>
              <w:left w:w="108" w:type="dxa"/>
              <w:bottom w:w="0" w:type="dxa"/>
              <w:right w:w="108" w:type="dxa"/>
            </w:tcMar>
            <w:hideMark/>
          </w:tcPr>
          <w:p w:rsidR="00FF7711" w:rsidRDefault="00FF7711">
            <w:r>
              <w:rPr>
                <w:b/>
                <w:bCs/>
              </w:rPr>
              <w:t>Attendees:</w:t>
            </w:r>
          </w:p>
        </w:tc>
        <w:tc>
          <w:tcPr>
            <w:tcW w:w="13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11" w:rsidRDefault="00FF7711">
            <w:r>
              <w:t>Christopher Hazlett</w:t>
            </w:r>
          </w:p>
        </w:tc>
        <w:tc>
          <w:tcPr>
            <w:tcW w:w="2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11" w:rsidRDefault="00FF7711">
            <w:r>
              <w:t>x</w:t>
            </w:r>
          </w:p>
        </w:tc>
        <w:tc>
          <w:tcPr>
            <w:tcW w:w="9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11" w:rsidRDefault="00FF7711">
            <w:r>
              <w:t xml:space="preserve">Mindy Williams </w:t>
            </w:r>
          </w:p>
        </w:tc>
        <w:tc>
          <w:tcPr>
            <w:tcW w:w="2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11" w:rsidRDefault="00FF7711">
            <w:r>
              <w:t>x</w:t>
            </w:r>
          </w:p>
        </w:tc>
        <w:tc>
          <w:tcPr>
            <w:tcW w:w="13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7711" w:rsidRDefault="00FF7711">
            <w:pPr>
              <w:rPr>
                <w:b/>
                <w:bCs/>
              </w:rPr>
            </w:pPr>
            <w:r>
              <w:rPr>
                <w:b/>
                <w:bCs/>
              </w:rPr>
              <w:t>Guests:</w:t>
            </w:r>
          </w:p>
        </w:tc>
        <w:tc>
          <w:tcPr>
            <w:tcW w:w="16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F7711" w:rsidRDefault="00FF7711"/>
        </w:tc>
      </w:tr>
      <w:tr w:rsidR="00FF7711" w:rsidTr="00FF7711">
        <w:tc>
          <w:tcPr>
            <w:tcW w:w="0" w:type="auto"/>
            <w:vMerge/>
            <w:tcBorders>
              <w:top w:val="single" w:sz="8" w:space="0" w:color="auto"/>
              <w:left w:val="single" w:sz="8" w:space="0" w:color="auto"/>
              <w:bottom w:val="single" w:sz="8" w:space="0" w:color="auto"/>
              <w:right w:val="single" w:sz="8" w:space="0" w:color="auto"/>
            </w:tcBorders>
            <w:vAlign w:val="center"/>
            <w:hideMark/>
          </w:tcPr>
          <w:p w:rsidR="00FF7711" w:rsidRDefault="00FF7711">
            <w:pPr>
              <w:rPr>
                <w:rFonts w:eastAsiaTheme="minorHAnsi"/>
              </w:rPr>
            </w:pP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Jessie Russell</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x</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Sarah Fuller</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x</w:t>
            </w:r>
          </w:p>
        </w:tc>
        <w:tc>
          <w:tcPr>
            <w:tcW w:w="1342"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Betsy Julian</w:t>
            </w:r>
          </w:p>
        </w:tc>
        <w:tc>
          <w:tcPr>
            <w:tcW w:w="163" w:type="pct"/>
            <w:tcBorders>
              <w:top w:val="nil"/>
              <w:left w:val="nil"/>
              <w:bottom w:val="single" w:sz="8" w:space="0" w:color="auto"/>
              <w:right w:val="single" w:sz="8" w:space="0" w:color="auto"/>
            </w:tcBorders>
            <w:tcMar>
              <w:top w:w="0" w:type="dxa"/>
              <w:left w:w="108" w:type="dxa"/>
              <w:bottom w:w="0" w:type="dxa"/>
              <w:right w:w="108" w:type="dxa"/>
            </w:tcMar>
          </w:tcPr>
          <w:p w:rsidR="00FF7711" w:rsidRDefault="00FF7711"/>
        </w:tc>
      </w:tr>
      <w:tr w:rsidR="00FF7711" w:rsidTr="00FF7711">
        <w:trPr>
          <w:trHeight w:val="287"/>
        </w:trPr>
        <w:tc>
          <w:tcPr>
            <w:tcW w:w="0" w:type="auto"/>
            <w:vMerge/>
            <w:tcBorders>
              <w:top w:val="single" w:sz="8" w:space="0" w:color="auto"/>
              <w:left w:val="single" w:sz="8" w:space="0" w:color="auto"/>
              <w:bottom w:val="single" w:sz="8" w:space="0" w:color="auto"/>
              <w:right w:val="single" w:sz="8" w:space="0" w:color="auto"/>
            </w:tcBorders>
            <w:vAlign w:val="center"/>
            <w:hideMark/>
          </w:tcPr>
          <w:p w:rsidR="00FF7711" w:rsidRDefault="00FF7711">
            <w:pPr>
              <w:rPr>
                <w:rFonts w:eastAsiaTheme="minorHAnsi"/>
              </w:rPr>
            </w:pP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Kirsten Hostetler</w:t>
            </w:r>
          </w:p>
        </w:tc>
        <w:tc>
          <w:tcPr>
            <w:tcW w:w="218" w:type="pct"/>
            <w:tcBorders>
              <w:top w:val="nil"/>
              <w:left w:val="nil"/>
              <w:bottom w:val="single" w:sz="8" w:space="0" w:color="auto"/>
              <w:right w:val="single" w:sz="8" w:space="0" w:color="auto"/>
            </w:tcBorders>
            <w:tcMar>
              <w:top w:w="0" w:type="dxa"/>
              <w:left w:w="108" w:type="dxa"/>
              <w:bottom w:w="0" w:type="dxa"/>
              <w:right w:w="108" w:type="dxa"/>
            </w:tcMar>
          </w:tcPr>
          <w:p w:rsidR="00FF7711" w:rsidRDefault="00FF7711"/>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Vickery Viles</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x</w:t>
            </w:r>
          </w:p>
        </w:tc>
        <w:tc>
          <w:tcPr>
            <w:tcW w:w="1342" w:type="pct"/>
            <w:tcBorders>
              <w:top w:val="nil"/>
              <w:left w:val="nil"/>
              <w:bottom w:val="single" w:sz="8" w:space="0" w:color="auto"/>
              <w:right w:val="single" w:sz="8" w:space="0" w:color="auto"/>
            </w:tcBorders>
            <w:tcMar>
              <w:top w:w="0" w:type="dxa"/>
              <w:left w:w="108" w:type="dxa"/>
              <w:bottom w:w="0" w:type="dxa"/>
              <w:right w:w="108" w:type="dxa"/>
            </w:tcMar>
          </w:tcPr>
          <w:p w:rsidR="00FF7711" w:rsidRDefault="00FF7711"/>
        </w:tc>
        <w:tc>
          <w:tcPr>
            <w:tcW w:w="163" w:type="pct"/>
            <w:tcBorders>
              <w:top w:val="nil"/>
              <w:left w:val="nil"/>
              <w:bottom w:val="single" w:sz="8" w:space="0" w:color="auto"/>
              <w:right w:val="single" w:sz="8" w:space="0" w:color="auto"/>
            </w:tcBorders>
            <w:tcMar>
              <w:top w:w="0" w:type="dxa"/>
              <w:left w:w="108" w:type="dxa"/>
              <w:bottom w:w="0" w:type="dxa"/>
              <w:right w:w="108" w:type="dxa"/>
            </w:tcMar>
          </w:tcPr>
          <w:p w:rsidR="00FF7711" w:rsidRDefault="00FF7711">
            <w:pPr>
              <w:rPr>
                <w:b/>
                <w:bCs/>
              </w:rPr>
            </w:pPr>
          </w:p>
        </w:tc>
      </w:tr>
      <w:tr w:rsidR="00FF7711" w:rsidTr="00FF7711">
        <w:tc>
          <w:tcPr>
            <w:tcW w:w="0" w:type="auto"/>
            <w:vMerge/>
            <w:tcBorders>
              <w:top w:val="single" w:sz="8" w:space="0" w:color="auto"/>
              <w:left w:val="single" w:sz="8" w:space="0" w:color="auto"/>
              <w:bottom w:val="single" w:sz="8" w:space="0" w:color="auto"/>
              <w:right w:val="single" w:sz="8" w:space="0" w:color="auto"/>
            </w:tcBorders>
            <w:vAlign w:val="center"/>
            <w:hideMark/>
          </w:tcPr>
          <w:p w:rsidR="00FF7711" w:rsidRDefault="00FF7711">
            <w:pPr>
              <w:rPr>
                <w:rFonts w:eastAsiaTheme="minorHAnsi"/>
              </w:rPr>
            </w:pPr>
          </w:p>
        </w:tc>
        <w:tc>
          <w:tcPr>
            <w:tcW w:w="1366"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Michele Decker</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x</w:t>
            </w:r>
          </w:p>
        </w:tc>
        <w:tc>
          <w:tcPr>
            <w:tcW w:w="937"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Wayne Yeatman</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F7711" w:rsidRDefault="00FF7711">
            <w:r>
              <w:t>x</w:t>
            </w:r>
          </w:p>
        </w:tc>
        <w:tc>
          <w:tcPr>
            <w:tcW w:w="1342" w:type="pct"/>
            <w:tcBorders>
              <w:top w:val="nil"/>
              <w:left w:val="nil"/>
              <w:bottom w:val="single" w:sz="8" w:space="0" w:color="auto"/>
              <w:right w:val="single" w:sz="8" w:space="0" w:color="auto"/>
            </w:tcBorders>
            <w:tcMar>
              <w:top w:w="0" w:type="dxa"/>
              <w:left w:w="108" w:type="dxa"/>
              <w:bottom w:w="0" w:type="dxa"/>
              <w:right w:w="108" w:type="dxa"/>
            </w:tcMar>
          </w:tcPr>
          <w:p w:rsidR="00FF7711" w:rsidRDefault="00FF7711"/>
        </w:tc>
        <w:tc>
          <w:tcPr>
            <w:tcW w:w="163" w:type="pct"/>
            <w:tcBorders>
              <w:top w:val="nil"/>
              <w:left w:val="nil"/>
              <w:bottom w:val="single" w:sz="8" w:space="0" w:color="auto"/>
              <w:right w:val="single" w:sz="8" w:space="0" w:color="auto"/>
            </w:tcBorders>
            <w:tcMar>
              <w:top w:w="0" w:type="dxa"/>
              <w:left w:w="108" w:type="dxa"/>
              <w:bottom w:w="0" w:type="dxa"/>
              <w:right w:w="108" w:type="dxa"/>
            </w:tcMar>
          </w:tcPr>
          <w:p w:rsidR="00FF7711" w:rsidRDefault="00FF7711"/>
        </w:tc>
      </w:tr>
    </w:tbl>
    <w:p w:rsidR="00FF7711" w:rsidRDefault="00FF7711" w:rsidP="00FF7711">
      <w:pPr>
        <w:rPr>
          <w:rFonts w:eastAsiaTheme="minorHAnsi"/>
        </w:rPr>
      </w:pPr>
    </w:p>
    <w:p w:rsidR="00FF7711" w:rsidRDefault="00FF7711" w:rsidP="00FF7711">
      <w:r>
        <w:t xml:space="preserve">Agenda </w:t>
      </w:r>
    </w:p>
    <w:p w:rsidR="00FF7711" w:rsidRDefault="00FF7711" w:rsidP="00FF7711">
      <w:r>
        <w:t xml:space="preserve">(Action items and person responsible in </w:t>
      </w:r>
      <w:r>
        <w:rPr>
          <w:color w:val="FF0000"/>
        </w:rPr>
        <w:t>red</w:t>
      </w:r>
      <w:r>
        <w:t>)</w:t>
      </w:r>
    </w:p>
    <w:p w:rsidR="00FF7711" w:rsidRDefault="00FF7711" w:rsidP="00FF7711"/>
    <w:p w:rsidR="00FF7711" w:rsidRDefault="00FF7711" w:rsidP="00FF7711">
      <w:pPr>
        <w:pStyle w:val="ListParagraph"/>
        <w:numPr>
          <w:ilvl w:val="0"/>
          <w:numId w:val="29"/>
        </w:numPr>
      </w:pPr>
      <w:r>
        <w:t>Call to order (5 minutes), Chair</w:t>
      </w:r>
    </w:p>
    <w:p w:rsidR="00FF7711" w:rsidRDefault="00FF7711" w:rsidP="00FF7711">
      <w:pPr>
        <w:pStyle w:val="ListParagraph"/>
        <w:numPr>
          <w:ilvl w:val="1"/>
          <w:numId w:val="29"/>
        </w:numPr>
      </w:pPr>
      <w:r>
        <w:t>Review of previous meeting notes, All</w:t>
      </w:r>
    </w:p>
    <w:p w:rsidR="009F5C00" w:rsidRDefault="009F5C00" w:rsidP="00FF7711">
      <w:pPr>
        <w:pStyle w:val="ListParagraph"/>
        <w:numPr>
          <w:ilvl w:val="1"/>
          <w:numId w:val="29"/>
        </w:numPr>
      </w:pPr>
      <w:r>
        <w:t xml:space="preserve">We </w:t>
      </w:r>
      <w:proofErr w:type="gramStart"/>
      <w:r>
        <w:t>didn’t</w:t>
      </w:r>
      <w:proofErr w:type="gramEnd"/>
      <w:r>
        <w:t xml:space="preserve"> do this as a group but the notes looked good to those who reviewed them (thanks Mindy).</w:t>
      </w:r>
    </w:p>
    <w:p w:rsidR="00FF7711" w:rsidRDefault="00FF7711" w:rsidP="00FF7711">
      <w:pPr>
        <w:pStyle w:val="ListParagraph"/>
        <w:ind w:left="1440"/>
      </w:pPr>
    </w:p>
    <w:p w:rsidR="00FF7711" w:rsidRDefault="00FF7711" w:rsidP="00FF7711">
      <w:pPr>
        <w:pStyle w:val="ListParagraph"/>
        <w:numPr>
          <w:ilvl w:val="0"/>
          <w:numId w:val="29"/>
        </w:numPr>
      </w:pPr>
      <w:r>
        <w:t>Check-in with Dean groups re: review of projects</w:t>
      </w:r>
    </w:p>
    <w:p w:rsidR="00FF7711" w:rsidRDefault="00FF7711" w:rsidP="00FF7711">
      <w:pPr>
        <w:pStyle w:val="ListParagraph"/>
        <w:numPr>
          <w:ilvl w:val="1"/>
          <w:numId w:val="29"/>
        </w:numPr>
      </w:pPr>
      <w:r>
        <w:t>Julie, Jessie, Sarah, and Michele have met once and will meet once more, when they will finish review of all projects (no second reader). Discussed how to deliver the feedback. Julie had concerns about her workload with participation in the review. Nonetheless, they had a productive meeting.</w:t>
      </w:r>
    </w:p>
    <w:p w:rsidR="00FF7711" w:rsidRDefault="00FF7711" w:rsidP="00FF7711">
      <w:pPr>
        <w:pStyle w:val="ListParagraph"/>
        <w:numPr>
          <w:ilvl w:val="1"/>
          <w:numId w:val="29"/>
        </w:numPr>
      </w:pPr>
      <w:r>
        <w:t>Jenni’s group has not met yet (next Thursday). Mindy will only be there for part of the meeting.</w:t>
      </w:r>
    </w:p>
    <w:p w:rsidR="00FF7711" w:rsidRDefault="00FF7711" w:rsidP="00FF7711">
      <w:pPr>
        <w:pStyle w:val="ListParagraph"/>
        <w:numPr>
          <w:ilvl w:val="1"/>
          <w:numId w:val="29"/>
        </w:numPr>
      </w:pPr>
      <w:r>
        <w:t xml:space="preserve">Michael’s group (Michael, Betsy, Wayne, </w:t>
      </w:r>
      <w:r w:rsidR="009F5C00">
        <w:t>and Vickery</w:t>
      </w:r>
      <w:r>
        <w:t>) met and started with a difficult project. Reviewed an easier one. Currently have a second read (due today), will meet again next week.</w:t>
      </w:r>
    </w:p>
    <w:p w:rsidR="00FF7711" w:rsidRDefault="00FF7711" w:rsidP="00FF7711">
      <w:pPr>
        <w:pStyle w:val="ListParagraph"/>
        <w:numPr>
          <w:ilvl w:val="1"/>
          <w:numId w:val="29"/>
        </w:numPr>
      </w:pPr>
      <w:r>
        <w:t xml:space="preserve">Reading Analyze and Closing the Loop, you need to refer back to the feedback and to the plan, etc. </w:t>
      </w:r>
    </w:p>
    <w:p w:rsidR="00FF7711" w:rsidRDefault="00FF7711" w:rsidP="00FF7711">
      <w:pPr>
        <w:pStyle w:val="ListParagraph"/>
        <w:numPr>
          <w:ilvl w:val="0"/>
          <w:numId w:val="29"/>
        </w:numPr>
      </w:pPr>
      <w:r>
        <w:t>Discussion about how to deliver feedback</w:t>
      </w:r>
    </w:p>
    <w:p w:rsidR="00FF7711" w:rsidRDefault="00FF7711" w:rsidP="00FF7711">
      <w:pPr>
        <w:pStyle w:val="ListParagraph"/>
        <w:numPr>
          <w:ilvl w:val="1"/>
          <w:numId w:val="29"/>
        </w:numPr>
      </w:pPr>
      <w:r>
        <w:t>How do you deliver feedback more promptly?</w:t>
      </w:r>
    </w:p>
    <w:p w:rsidR="00FF7711" w:rsidRDefault="00FF7711" w:rsidP="00FF7711">
      <w:pPr>
        <w:pStyle w:val="ListParagraph"/>
        <w:numPr>
          <w:ilvl w:val="1"/>
          <w:numId w:val="29"/>
        </w:numPr>
      </w:pPr>
      <w:r>
        <w:t xml:space="preserve">Julie’s group: </w:t>
      </w:r>
    </w:p>
    <w:p w:rsidR="00FF7711" w:rsidRDefault="00FF7711" w:rsidP="00FF7711">
      <w:pPr>
        <w:pStyle w:val="ListParagraph"/>
        <w:numPr>
          <w:ilvl w:val="2"/>
          <w:numId w:val="29"/>
        </w:numPr>
      </w:pPr>
      <w:proofErr w:type="gramStart"/>
      <w:r>
        <w:t>primary</w:t>
      </w:r>
      <w:proofErr w:type="gramEnd"/>
      <w:r>
        <w:t xml:space="preserve"> reader reaches out with questions?</w:t>
      </w:r>
    </w:p>
    <w:p w:rsidR="00FF7711" w:rsidRDefault="00FF7711" w:rsidP="00FF7711">
      <w:pPr>
        <w:pStyle w:val="ListParagraph"/>
        <w:numPr>
          <w:ilvl w:val="2"/>
          <w:numId w:val="29"/>
        </w:numPr>
      </w:pPr>
      <w:r>
        <w:t>Mentoring of proposer</w:t>
      </w:r>
    </w:p>
    <w:p w:rsidR="00FF7711" w:rsidRDefault="00FF7711" w:rsidP="00FF7711">
      <w:pPr>
        <w:pStyle w:val="ListParagraph"/>
        <w:numPr>
          <w:ilvl w:val="2"/>
          <w:numId w:val="29"/>
        </w:numPr>
      </w:pPr>
      <w:r>
        <w:t>Verbal conversation is better</w:t>
      </w:r>
    </w:p>
    <w:p w:rsidR="00FF7711" w:rsidRDefault="00FF7711" w:rsidP="00FF7711">
      <w:pPr>
        <w:pStyle w:val="ListParagraph"/>
        <w:numPr>
          <w:ilvl w:val="2"/>
          <w:numId w:val="29"/>
        </w:numPr>
      </w:pPr>
      <w:r>
        <w:t xml:space="preserve">After reading, wonder </w:t>
      </w:r>
      <w:proofErr w:type="gramStart"/>
      <w:r>
        <w:t>if we have actually accepted the report or are we asking for changes</w:t>
      </w:r>
      <w:proofErr w:type="gramEnd"/>
      <w:r>
        <w:t>?</w:t>
      </w:r>
    </w:p>
    <w:p w:rsidR="00FF7711" w:rsidRDefault="00FF7711" w:rsidP="00FF7711">
      <w:pPr>
        <w:pStyle w:val="ListParagraph"/>
        <w:numPr>
          <w:ilvl w:val="2"/>
          <w:numId w:val="29"/>
        </w:numPr>
      </w:pPr>
      <w:r>
        <w:t>Next year, should we assign buddies/mentors and meet with them either in the spring, or at assessment day.</w:t>
      </w:r>
    </w:p>
    <w:p w:rsidR="00FF7711" w:rsidRDefault="00FF7711" w:rsidP="00FF7711">
      <w:pPr>
        <w:pStyle w:val="ListParagraph"/>
        <w:numPr>
          <w:ilvl w:val="2"/>
          <w:numId w:val="29"/>
        </w:numPr>
      </w:pPr>
      <w:r>
        <w:t>What do we do this year?</w:t>
      </w:r>
    </w:p>
    <w:p w:rsidR="00FF7711" w:rsidRDefault="00FF7711" w:rsidP="00FF7711">
      <w:pPr>
        <w:pStyle w:val="ListParagraph"/>
        <w:numPr>
          <w:ilvl w:val="3"/>
          <w:numId w:val="29"/>
        </w:numPr>
      </w:pPr>
      <w:proofErr w:type="gramStart"/>
      <w:r>
        <w:t>Don’t</w:t>
      </w:r>
      <w:proofErr w:type="gramEnd"/>
      <w:r>
        <w:t xml:space="preserve"> ask for revision, ask for something on the next report if necessary.</w:t>
      </w:r>
    </w:p>
    <w:p w:rsidR="00FF7711" w:rsidRDefault="00FF7711" w:rsidP="00FF7711">
      <w:pPr>
        <w:pStyle w:val="ListParagraph"/>
        <w:numPr>
          <w:ilvl w:val="3"/>
          <w:numId w:val="29"/>
        </w:numPr>
      </w:pPr>
      <w:r>
        <w:t> How do you</w:t>
      </w:r>
      <w:r w:rsidR="009F5C00">
        <w:t xml:space="preserve"> provide feedback on</w:t>
      </w:r>
      <w:r>
        <w:t xml:space="preserve"> close the loop? This wasn’t a black </w:t>
      </w:r>
      <w:proofErr w:type="gramStart"/>
      <w:r>
        <w:t>hole,</w:t>
      </w:r>
      <w:proofErr w:type="gramEnd"/>
      <w:r>
        <w:t xml:space="preserve"> we read it, nice job sandwich feedback this time around?</w:t>
      </w:r>
    </w:p>
    <w:p w:rsidR="00FF7711" w:rsidRDefault="009F5C00" w:rsidP="00FF7711">
      <w:pPr>
        <w:pStyle w:val="ListParagraph"/>
        <w:numPr>
          <w:ilvl w:val="3"/>
          <w:numId w:val="29"/>
        </w:numPr>
      </w:pPr>
      <w:r>
        <w:t>Who is delivering this feedback</w:t>
      </w:r>
    </w:p>
    <w:p w:rsidR="00FF7711" w:rsidRDefault="00FF7711" w:rsidP="00FF7711">
      <w:pPr>
        <w:pStyle w:val="ListParagraph"/>
        <w:numPr>
          <w:ilvl w:val="3"/>
          <w:numId w:val="29"/>
        </w:numPr>
      </w:pPr>
      <w:r>
        <w:t xml:space="preserve">Problematic feedback </w:t>
      </w:r>
      <w:r w:rsidR="009F5C00">
        <w:t xml:space="preserve">should come </w:t>
      </w:r>
      <w:r>
        <w:t>from the dean</w:t>
      </w:r>
    </w:p>
    <w:p w:rsidR="00FF7711" w:rsidRDefault="00FF7711" w:rsidP="00FF7711">
      <w:pPr>
        <w:pStyle w:val="ListParagraph"/>
        <w:numPr>
          <w:ilvl w:val="3"/>
          <w:numId w:val="29"/>
        </w:numPr>
      </w:pPr>
      <w:r>
        <w:t xml:space="preserve">Doesn’t have to the same </w:t>
      </w:r>
      <w:r w:rsidR="009F5C00">
        <w:t xml:space="preserve">feedback method </w:t>
      </w:r>
      <w:r>
        <w:t>across all the dean groups</w:t>
      </w:r>
    </w:p>
    <w:p w:rsidR="00FF7711" w:rsidRDefault="00FF7711" w:rsidP="00FF7711">
      <w:pPr>
        <w:pStyle w:val="ListParagraph"/>
        <w:numPr>
          <w:ilvl w:val="3"/>
          <w:numId w:val="29"/>
        </w:numPr>
      </w:pPr>
      <w:r>
        <w:lastRenderedPageBreak/>
        <w:t>Feedback</w:t>
      </w:r>
      <w:r w:rsidR="009F5C00">
        <w:t xml:space="preserve"> coming </w:t>
      </w:r>
      <w:r>
        <w:t>from the dean provides consistency, allows for co</w:t>
      </w:r>
      <w:r w:rsidR="009F5C00">
        <w:t>rrective measures where needed</w:t>
      </w:r>
    </w:p>
    <w:p w:rsidR="00FF7711" w:rsidRDefault="00FF7711" w:rsidP="00FF7711">
      <w:pPr>
        <w:pStyle w:val="ListParagraph"/>
        <w:numPr>
          <w:ilvl w:val="3"/>
          <w:numId w:val="29"/>
        </w:numPr>
      </w:pPr>
      <w:r>
        <w:t xml:space="preserve">Feedback from Dean and LOA </w:t>
      </w:r>
      <w:proofErr w:type="gramStart"/>
      <w:r>
        <w:t>buddy</w:t>
      </w:r>
      <w:proofErr w:type="gramEnd"/>
      <w:r>
        <w:t>?</w:t>
      </w:r>
    </w:p>
    <w:p w:rsidR="00FF7711" w:rsidRDefault="009F5C00" w:rsidP="00FF7711">
      <w:pPr>
        <w:pStyle w:val="ListParagraph"/>
        <w:numPr>
          <w:ilvl w:val="3"/>
          <w:numId w:val="29"/>
        </w:numPr>
      </w:pPr>
      <w:r>
        <w:t>Decision: This time around, continue practice of</w:t>
      </w:r>
      <w:r w:rsidR="00FF7711">
        <w:t xml:space="preserve"> Deans provid</w:t>
      </w:r>
      <w:r>
        <w:t>ing</w:t>
      </w:r>
      <w:r w:rsidR="00FF7711">
        <w:t xml:space="preserve"> feedback.</w:t>
      </w:r>
    </w:p>
    <w:p w:rsidR="00FF7711" w:rsidRDefault="00FF7711" w:rsidP="00FF7711">
      <w:pPr>
        <w:pStyle w:val="ListParagraph"/>
        <w:numPr>
          <w:ilvl w:val="3"/>
          <w:numId w:val="29"/>
        </w:numPr>
      </w:pPr>
      <w:r>
        <w:t>Who is going to tell the deans that they will provide feedback? Betsy</w:t>
      </w:r>
    </w:p>
    <w:p w:rsidR="00FF7711" w:rsidRDefault="00FF7711" w:rsidP="00FF7711">
      <w:pPr>
        <w:pStyle w:val="ListParagraph"/>
        <w:numPr>
          <w:ilvl w:val="3"/>
          <w:numId w:val="29"/>
        </w:numPr>
      </w:pPr>
      <w:r>
        <w:t>LOA available for support</w:t>
      </w:r>
    </w:p>
    <w:p w:rsidR="00FF7711" w:rsidRDefault="00FF7711" w:rsidP="00FF7711">
      <w:pPr>
        <w:pStyle w:val="ListParagraph"/>
        <w:numPr>
          <w:ilvl w:val="3"/>
          <w:numId w:val="29"/>
        </w:numPr>
      </w:pPr>
      <w:r>
        <w:t>Readers finalize rubric, send to dean who provides feedback</w:t>
      </w:r>
    </w:p>
    <w:p w:rsidR="00FF7711" w:rsidRDefault="00FF7711" w:rsidP="00FF7711">
      <w:pPr>
        <w:pStyle w:val="ListParagraph"/>
        <w:numPr>
          <w:ilvl w:val="3"/>
          <w:numId w:val="29"/>
        </w:numPr>
      </w:pPr>
      <w:r>
        <w:t>Rubric should list group who reviewed the project, with first reader listed first</w:t>
      </w:r>
    </w:p>
    <w:p w:rsidR="00FF7711" w:rsidRDefault="00FF7711" w:rsidP="00FF7711">
      <w:pPr>
        <w:pStyle w:val="ListParagraph"/>
        <w:numPr>
          <w:ilvl w:val="3"/>
          <w:numId w:val="29"/>
        </w:numPr>
      </w:pPr>
      <w:r>
        <w:t>Overview section should be completed but does not need to be multiple paragraphs</w:t>
      </w:r>
    </w:p>
    <w:p w:rsidR="00FF7711" w:rsidRDefault="00FF7711" w:rsidP="00FF7711">
      <w:pPr>
        <w:pStyle w:val="ListParagraph"/>
        <w:numPr>
          <w:ilvl w:val="3"/>
          <w:numId w:val="29"/>
        </w:numPr>
      </w:pPr>
      <w:r>
        <w:t>Reviewed progression of feedback</w:t>
      </w:r>
      <w:r w:rsidR="009F5C00">
        <w:t xml:space="preserve"> over the last three years</w:t>
      </w:r>
    </w:p>
    <w:p w:rsidR="00FF7711" w:rsidRDefault="00FF7711" w:rsidP="009F5C00">
      <w:pPr>
        <w:pStyle w:val="ListParagraph"/>
        <w:numPr>
          <w:ilvl w:val="2"/>
          <w:numId w:val="29"/>
        </w:numPr>
      </w:pPr>
      <w:r>
        <w:t xml:space="preserve">Purpose of the </w:t>
      </w:r>
      <w:r w:rsidR="009F5C00">
        <w:t>feedback step</w:t>
      </w:r>
      <w:r>
        <w:t>:</w:t>
      </w:r>
      <w:r w:rsidR="009F5C00">
        <w:t xml:space="preserve"> </w:t>
      </w:r>
      <w:r>
        <w:t>To support a culture of assessment</w:t>
      </w:r>
      <w:r w:rsidR="009F5C00">
        <w:t xml:space="preserve"> in which we use e</w:t>
      </w:r>
      <w:r w:rsidR="009F5C00">
        <w:t>vidence-based teaching and learning, and we can show that students achieve</w:t>
      </w:r>
      <w:r w:rsidR="009F5C00">
        <w:t xml:space="preserve"> learning outcomes, by:</w:t>
      </w:r>
    </w:p>
    <w:p w:rsidR="00FF7711" w:rsidRDefault="00FF7711" w:rsidP="00FF7711">
      <w:pPr>
        <w:pStyle w:val="ListParagraph"/>
        <w:numPr>
          <w:ilvl w:val="4"/>
          <w:numId w:val="29"/>
        </w:numPr>
      </w:pPr>
      <w:r>
        <w:t>Maintain</w:t>
      </w:r>
      <w:r w:rsidR="009F5C00">
        <w:t>ing</w:t>
      </w:r>
      <w:r>
        <w:t xml:space="preserve"> focus on classroom and learning improvement</w:t>
      </w:r>
    </w:p>
    <w:p w:rsidR="00FF7711" w:rsidRDefault="00FF7711" w:rsidP="00FF7711">
      <w:pPr>
        <w:pStyle w:val="ListParagraph"/>
        <w:numPr>
          <w:ilvl w:val="4"/>
          <w:numId w:val="29"/>
        </w:numPr>
      </w:pPr>
      <w:r>
        <w:t>Help</w:t>
      </w:r>
      <w:r w:rsidR="009F5C00">
        <w:t>ing</w:t>
      </w:r>
      <w:r>
        <w:t xml:space="preserve"> faculty engage with general education outcomes</w:t>
      </w:r>
    </w:p>
    <w:p w:rsidR="00FF7711" w:rsidRDefault="00FF7711" w:rsidP="00FF7711">
      <w:pPr>
        <w:pStyle w:val="ListParagraph"/>
        <w:numPr>
          <w:ilvl w:val="4"/>
          <w:numId w:val="29"/>
        </w:numPr>
      </w:pPr>
      <w:r>
        <w:t>Promot</w:t>
      </w:r>
      <w:r w:rsidR="009F5C00">
        <w:t>ing</w:t>
      </w:r>
      <w:r>
        <w:t xml:space="preserve"> collaboration and communication among groups of faculty in support of improving GE and CTE program outcome achievement.</w:t>
      </w:r>
    </w:p>
    <w:p w:rsidR="00FF7711" w:rsidRDefault="00FF7711" w:rsidP="009F5C00">
      <w:pPr>
        <w:pStyle w:val="ListParagraph"/>
        <w:numPr>
          <w:ilvl w:val="4"/>
          <w:numId w:val="29"/>
        </w:numPr>
      </w:pPr>
      <w:r>
        <w:t>Develop</w:t>
      </w:r>
      <w:r w:rsidR="009F5C00">
        <w:t>ing</w:t>
      </w:r>
      <w:r>
        <w:t xml:space="preserve"> a sustainable and meaningful model of assessment.</w:t>
      </w:r>
    </w:p>
    <w:p w:rsidR="00FF7711" w:rsidRDefault="009F5C00" w:rsidP="00FF7711">
      <w:pPr>
        <w:pStyle w:val="ListParagraph"/>
        <w:numPr>
          <w:ilvl w:val="4"/>
          <w:numId w:val="29"/>
        </w:numPr>
      </w:pPr>
      <w:r>
        <w:t>Recognizing</w:t>
      </w:r>
      <w:r w:rsidR="00FF7711">
        <w:t xml:space="preserve"> exemplary work.</w:t>
      </w:r>
    </w:p>
    <w:p w:rsidR="00FF7711" w:rsidRDefault="00FF7711" w:rsidP="00FF7711">
      <w:pPr>
        <w:pStyle w:val="ListParagraph"/>
        <w:numPr>
          <w:ilvl w:val="0"/>
          <w:numId w:val="29"/>
        </w:numPr>
      </w:pPr>
      <w:r>
        <w:t>Discussion Closing the Loop</w:t>
      </w:r>
    </w:p>
    <w:p w:rsidR="00FF7711" w:rsidRDefault="00FF7711" w:rsidP="00FF7711">
      <w:pPr>
        <w:pStyle w:val="ListParagraph"/>
        <w:numPr>
          <w:ilvl w:val="1"/>
          <w:numId w:val="29"/>
        </w:numPr>
      </w:pPr>
      <w:r>
        <w:t xml:space="preserve">Prospect of closing the loop with large volume departments, </w:t>
      </w:r>
      <w:proofErr w:type="gramStart"/>
      <w:r>
        <w:t>doesn’t</w:t>
      </w:r>
      <w:proofErr w:type="gramEnd"/>
      <w:r>
        <w:t xml:space="preserve"> make sense to close the loop the next year.</w:t>
      </w:r>
    </w:p>
    <w:p w:rsidR="00FF7711" w:rsidRDefault="00FF7711" w:rsidP="00FF7711">
      <w:pPr>
        <w:pStyle w:val="ListParagraph"/>
        <w:numPr>
          <w:ilvl w:val="2"/>
          <w:numId w:val="29"/>
        </w:numPr>
      </w:pPr>
      <w:r>
        <w:t>Year 1 do WR 121, year 2 WR 122, year 3 227, year 4 small sample of all of these courses, year 5 do APR</w:t>
      </w:r>
    </w:p>
    <w:p w:rsidR="00FF7711" w:rsidRDefault="00FF7711" w:rsidP="00FF7711">
      <w:pPr>
        <w:pStyle w:val="ListParagraph"/>
        <w:numPr>
          <w:ilvl w:val="2"/>
          <w:numId w:val="29"/>
        </w:numPr>
      </w:pPr>
      <w:r>
        <w:t xml:space="preserve">Must we do this in a </w:t>
      </w:r>
      <w:proofErr w:type="gramStart"/>
      <w:r>
        <w:t>two year</w:t>
      </w:r>
      <w:proofErr w:type="gramEnd"/>
      <w:r>
        <w:t xml:space="preserve"> cycle, or can we take longer (individual timing)?</w:t>
      </w:r>
    </w:p>
    <w:p w:rsidR="00FF7711" w:rsidRDefault="00FF7711" w:rsidP="00FF7711">
      <w:pPr>
        <w:pStyle w:val="ListParagraph"/>
        <w:numPr>
          <w:ilvl w:val="3"/>
          <w:numId w:val="29"/>
        </w:numPr>
      </w:pPr>
      <w:r>
        <w:t>We can drive a system that works</w:t>
      </w:r>
    </w:p>
    <w:p w:rsidR="00FF7711" w:rsidRDefault="00FF7711" w:rsidP="00FF7711">
      <w:pPr>
        <w:pStyle w:val="ListParagraph"/>
        <w:numPr>
          <w:ilvl w:val="3"/>
          <w:numId w:val="29"/>
        </w:numPr>
      </w:pPr>
      <w:r>
        <w:t>I want release time to do a large project closing the loop if we must do it in the year immediately following</w:t>
      </w:r>
    </w:p>
    <w:p w:rsidR="009F5C00" w:rsidRDefault="009F5C00" w:rsidP="009F5C00">
      <w:pPr>
        <w:pStyle w:val="ListParagraph"/>
        <w:numPr>
          <w:ilvl w:val="3"/>
          <w:numId w:val="29"/>
        </w:numPr>
      </w:pPr>
      <w:r>
        <w:t>Coming together is a meaningful activity but not as meaningful the second time</w:t>
      </w:r>
    </w:p>
    <w:p w:rsidR="00FF7711" w:rsidRDefault="00FF7711" w:rsidP="00FF7711">
      <w:pPr>
        <w:pStyle w:val="ListParagraph"/>
        <w:numPr>
          <w:ilvl w:val="2"/>
          <w:numId w:val="29"/>
        </w:numPr>
      </w:pPr>
      <w:r>
        <w:t xml:space="preserve">Must we repeat same sample or same measurement? Can we focus on repeating a measurement for the specific area that </w:t>
      </w:r>
      <w:proofErr w:type="gramStart"/>
      <w:r>
        <w:t>will be changed</w:t>
      </w:r>
      <w:proofErr w:type="gramEnd"/>
      <w:r>
        <w:t>?</w:t>
      </w:r>
    </w:p>
    <w:p w:rsidR="00FF7711" w:rsidRDefault="00FF7711" w:rsidP="00FF7711">
      <w:pPr>
        <w:pStyle w:val="ListParagraph"/>
        <w:numPr>
          <w:ilvl w:val="2"/>
          <w:numId w:val="29"/>
        </w:numPr>
      </w:pPr>
      <w:r>
        <w:t>Can we report out at a more individual level?</w:t>
      </w:r>
    </w:p>
    <w:p w:rsidR="00FF7711" w:rsidRDefault="00FF7711" w:rsidP="00FF7711">
      <w:pPr>
        <w:pStyle w:val="ListParagraph"/>
        <w:numPr>
          <w:ilvl w:val="2"/>
          <w:numId w:val="29"/>
        </w:numPr>
      </w:pPr>
      <w:r>
        <w:t>Can we report out as a reflection?</w:t>
      </w:r>
    </w:p>
    <w:p w:rsidR="00FF7711" w:rsidRDefault="00FF7711" w:rsidP="00FF7711">
      <w:pPr>
        <w:pStyle w:val="ListParagraph"/>
        <w:numPr>
          <w:ilvl w:val="0"/>
          <w:numId w:val="29"/>
        </w:numPr>
      </w:pPr>
      <w:r>
        <w:t>Cancel Dec. 7</w:t>
      </w:r>
      <w:r w:rsidR="009F5C00">
        <w:t xml:space="preserve"> meeting, schedule winter term meetings on every other W, 1:30-2:30</w:t>
      </w:r>
    </w:p>
    <w:p w:rsidR="00FF7711" w:rsidRDefault="00FF7711" w:rsidP="00FF7711"/>
    <w:p w:rsidR="00FF7711" w:rsidRDefault="009F5C00" w:rsidP="00FF7711">
      <w:r>
        <w:t>Winter</w:t>
      </w:r>
      <w:r w:rsidR="00FF7711">
        <w:t xml:space="preserve"> meeting</w:t>
      </w:r>
      <w:r>
        <w:t>s</w:t>
      </w:r>
      <w:r w:rsidR="00FF7711">
        <w:t>:</w:t>
      </w:r>
    </w:p>
    <w:p w:rsidR="00FF7711" w:rsidRDefault="009F5C00" w:rsidP="00FF7711">
      <w:r>
        <w:t>Wednesday, January 16, 2019</w:t>
      </w:r>
    </w:p>
    <w:p w:rsidR="009F5C00" w:rsidRDefault="009F5C00" w:rsidP="009F5C00">
      <w:r>
        <w:t xml:space="preserve">Wednesday, </w:t>
      </w:r>
      <w:r>
        <w:t>February 13</w:t>
      </w:r>
      <w:r>
        <w:t>, 2019</w:t>
      </w:r>
    </w:p>
    <w:p w:rsidR="009F5C00" w:rsidRDefault="009F5C00" w:rsidP="009F5C00">
      <w:r>
        <w:t xml:space="preserve">Wednesday, </w:t>
      </w:r>
      <w:r>
        <w:t>February 27</w:t>
      </w:r>
      <w:r>
        <w:t>, 2019</w:t>
      </w:r>
    </w:p>
    <w:p w:rsidR="009F5C00" w:rsidRDefault="009F5C00" w:rsidP="00FF7711">
      <w:r>
        <w:t xml:space="preserve">Wednesday, </w:t>
      </w:r>
      <w:r>
        <w:t>March 13</w:t>
      </w:r>
      <w:r>
        <w:t xml:space="preserve">, </w:t>
      </w:r>
      <w:r>
        <w:t>2019</w:t>
      </w:r>
    </w:p>
    <w:p w:rsidR="00FF7711" w:rsidRDefault="00FF7711" w:rsidP="00FF7711"/>
    <w:p w:rsidR="00FF7711" w:rsidRDefault="00FF7711" w:rsidP="00FF7711">
      <w:pPr>
        <w:rPr>
          <w:color w:val="000000"/>
        </w:rPr>
      </w:pPr>
      <w:r>
        <w:rPr>
          <w:color w:val="000000"/>
        </w:rPr>
        <w:t>Parking Lot/Future meetings:</w:t>
      </w:r>
    </w:p>
    <w:p w:rsidR="00FF7711" w:rsidRDefault="00FF7711" w:rsidP="00FF7711">
      <w:pPr>
        <w:pStyle w:val="ListParagraph"/>
        <w:numPr>
          <w:ilvl w:val="0"/>
          <w:numId w:val="30"/>
        </w:numPr>
        <w:spacing w:after="160" w:line="252" w:lineRule="auto"/>
        <w:rPr>
          <w:color w:val="000000"/>
        </w:rPr>
      </w:pPr>
      <w:r>
        <w:rPr>
          <w:color w:val="000000"/>
        </w:rPr>
        <w:t>Cycle for GE courses offered with very little frequency</w:t>
      </w:r>
    </w:p>
    <w:p w:rsidR="00FF7711" w:rsidRDefault="00FF7711" w:rsidP="00FF7711">
      <w:pPr>
        <w:pStyle w:val="ListParagraph"/>
        <w:numPr>
          <w:ilvl w:val="0"/>
          <w:numId w:val="30"/>
        </w:numPr>
        <w:spacing w:after="160" w:line="252" w:lineRule="auto"/>
        <w:rPr>
          <w:color w:val="000000"/>
        </w:rPr>
      </w:pPr>
      <w:r>
        <w:rPr>
          <w:color w:val="000000"/>
        </w:rPr>
        <w:t>Closing the loop: measuring twice</w:t>
      </w:r>
      <w:r w:rsidR="009F5C00">
        <w:rPr>
          <w:color w:val="000000"/>
        </w:rPr>
        <w:t xml:space="preserve"> </w:t>
      </w:r>
    </w:p>
    <w:p w:rsidR="00FF7711" w:rsidRDefault="00FF7711" w:rsidP="00FF7711">
      <w:pPr>
        <w:pStyle w:val="ListParagraph"/>
        <w:numPr>
          <w:ilvl w:val="0"/>
          <w:numId w:val="30"/>
        </w:numPr>
        <w:rPr>
          <w:color w:val="000000"/>
        </w:rPr>
      </w:pPr>
      <w:r>
        <w:rPr>
          <w:color w:val="000000"/>
        </w:rPr>
        <w:t xml:space="preserve">Lead or captain for GEGs? </w:t>
      </w:r>
    </w:p>
    <w:p w:rsidR="00FF7711" w:rsidRDefault="00FF7711" w:rsidP="00FF7711">
      <w:pPr>
        <w:pStyle w:val="ListParagraph"/>
        <w:rPr>
          <w:color w:val="000000"/>
        </w:rPr>
      </w:pPr>
    </w:p>
    <w:p w:rsidR="009A3CCE" w:rsidRPr="00F1000A" w:rsidRDefault="009A3CCE" w:rsidP="009A3CCE">
      <w:pPr>
        <w:ind w:firstLine="450"/>
        <w:rPr>
          <w:color w:val="000000" w:themeColor="text1"/>
        </w:rPr>
      </w:pPr>
    </w:p>
    <w:p w:rsidR="00C12B7C" w:rsidRPr="00C80F7A" w:rsidRDefault="00C12B7C" w:rsidP="00EC114C">
      <w:bookmarkStart w:id="0" w:name="_GoBack"/>
      <w:bookmarkEnd w:id="0"/>
    </w:p>
    <w:sectPr w:rsidR="00C12B7C" w:rsidRPr="00C80F7A" w:rsidSect="009A3C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FB" w:rsidRDefault="00716DFB" w:rsidP="001E4BA4">
      <w:r>
        <w:separator/>
      </w:r>
    </w:p>
  </w:endnote>
  <w:endnote w:type="continuationSeparator" w:id="0">
    <w:p w:rsidR="00716DFB" w:rsidRDefault="00716DFB"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09634"/>
      <w:docPartObj>
        <w:docPartGallery w:val="Page Numbers (Bottom of Page)"/>
        <w:docPartUnique/>
      </w:docPartObj>
    </w:sdtPr>
    <w:sdtEndPr/>
    <w:sdtContent>
      <w:sdt>
        <w:sdtPr>
          <w:id w:val="860082579"/>
          <w:docPartObj>
            <w:docPartGallery w:val="Page Numbers (Top of Page)"/>
            <w:docPartUnique/>
          </w:docPartObj>
        </w:sdtPr>
        <w:sdtEndPr/>
        <w:sdtContent>
          <w:p w:rsidR="00716DFB" w:rsidRDefault="00716DFB">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9F5C00">
              <w:rPr>
                <w:b/>
                <w:bCs/>
                <w:noProof/>
                <w:sz w:val="16"/>
                <w:szCs w:val="16"/>
              </w:rPr>
              <w:t>2</w:t>
            </w:r>
            <w:r w:rsidRPr="006456C9">
              <w:rPr>
                <w:b/>
                <w:bCs/>
                <w:sz w:val="16"/>
                <w:szCs w:val="16"/>
              </w:rPr>
              <w:fldChar w:fldCharType="end"/>
            </w:r>
            <w:r w:rsidRPr="006456C9">
              <w:rPr>
                <w:sz w:val="16"/>
                <w:szCs w:val="16"/>
              </w:rPr>
              <w:t xml:space="preserve"> of </w:t>
            </w:r>
            <w:r>
              <w:rPr>
                <w:b/>
                <w:bCs/>
                <w:sz w:val="16"/>
                <w:szCs w:val="16"/>
              </w:rPr>
              <w:t>1</w:t>
            </w:r>
          </w:p>
        </w:sdtContent>
      </w:sdt>
    </w:sdtContent>
  </w:sdt>
  <w:p w:rsidR="00716DFB" w:rsidRDefault="0071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FB" w:rsidRDefault="00716DFB" w:rsidP="001E4BA4">
      <w:r>
        <w:separator/>
      </w:r>
    </w:p>
  </w:footnote>
  <w:footnote w:type="continuationSeparator" w:id="0">
    <w:p w:rsidR="00716DFB" w:rsidRDefault="00716DFB" w:rsidP="001E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FB" w:rsidRDefault="00716DFB">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sidR="004D0D61">
      <w:rPr>
        <w:smallCaps/>
        <w:sz w:val="16"/>
      </w:rPr>
      <w:t>Learning Outcomes and assessment group</w:t>
    </w:r>
    <w:r w:rsidR="00083D79">
      <w:rPr>
        <w:smallCaps/>
        <w:sz w:val="16"/>
      </w:rPr>
      <w:t xml:space="preserve"> Meeting</w:t>
    </w:r>
  </w:p>
  <w:p w:rsidR="00716DFB" w:rsidRPr="000D2904" w:rsidRDefault="00716DFB">
    <w:pPr>
      <w:pStyle w:val="Header"/>
      <w:rPr>
        <w:smallCaps/>
        <w:sz w:val="16"/>
      </w:rPr>
    </w:pPr>
  </w:p>
  <w:p w:rsidR="00716DFB" w:rsidRDefault="0071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20"/>
    <w:multiLevelType w:val="hybridMultilevel"/>
    <w:tmpl w:val="4F54A458"/>
    <w:lvl w:ilvl="0" w:tplc="27544E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745"/>
    <w:multiLevelType w:val="hybridMultilevel"/>
    <w:tmpl w:val="5DBA34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1B1D79"/>
    <w:multiLevelType w:val="hybridMultilevel"/>
    <w:tmpl w:val="CEB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4A91"/>
    <w:multiLevelType w:val="hybridMultilevel"/>
    <w:tmpl w:val="13A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2705F"/>
    <w:multiLevelType w:val="hybridMultilevel"/>
    <w:tmpl w:val="566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262BB"/>
    <w:multiLevelType w:val="hybridMultilevel"/>
    <w:tmpl w:val="E2AE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35A6"/>
    <w:multiLevelType w:val="hybridMultilevel"/>
    <w:tmpl w:val="C65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93789"/>
    <w:multiLevelType w:val="hybridMultilevel"/>
    <w:tmpl w:val="83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36FBA"/>
    <w:multiLevelType w:val="hybridMultilevel"/>
    <w:tmpl w:val="29A2858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D1019AB"/>
    <w:multiLevelType w:val="hybridMultilevel"/>
    <w:tmpl w:val="C00E8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2A4A9D"/>
    <w:multiLevelType w:val="hybridMultilevel"/>
    <w:tmpl w:val="49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2488F"/>
    <w:multiLevelType w:val="hybridMultilevel"/>
    <w:tmpl w:val="CD6E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87CD4"/>
    <w:multiLevelType w:val="hybridMultilevel"/>
    <w:tmpl w:val="EE528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C150A4"/>
    <w:multiLevelType w:val="hybridMultilevel"/>
    <w:tmpl w:val="E7AE8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3790D"/>
    <w:multiLevelType w:val="hybridMultilevel"/>
    <w:tmpl w:val="71B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B6983"/>
    <w:multiLevelType w:val="hybridMultilevel"/>
    <w:tmpl w:val="2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2627"/>
    <w:multiLevelType w:val="hybridMultilevel"/>
    <w:tmpl w:val="78C46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578A7"/>
    <w:multiLevelType w:val="hybridMultilevel"/>
    <w:tmpl w:val="E62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1461D"/>
    <w:multiLevelType w:val="hybridMultilevel"/>
    <w:tmpl w:val="EA7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A67EA"/>
    <w:multiLevelType w:val="hybridMultilevel"/>
    <w:tmpl w:val="7E0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5"/>
  </w:num>
  <w:num w:numId="4">
    <w:abstractNumId w:val="27"/>
  </w:num>
  <w:num w:numId="5">
    <w:abstractNumId w:val="4"/>
  </w:num>
  <w:num w:numId="6">
    <w:abstractNumId w:val="25"/>
  </w:num>
  <w:num w:numId="7">
    <w:abstractNumId w:val="6"/>
  </w:num>
  <w:num w:numId="8">
    <w:abstractNumId w:val="7"/>
  </w:num>
  <w:num w:numId="9">
    <w:abstractNumId w:val="8"/>
  </w:num>
  <w:num w:numId="10">
    <w:abstractNumId w:val="9"/>
  </w:num>
  <w:num w:numId="11">
    <w:abstractNumId w:val="22"/>
  </w:num>
  <w:num w:numId="12">
    <w:abstractNumId w:val="10"/>
  </w:num>
  <w:num w:numId="13">
    <w:abstractNumId w:val="14"/>
  </w:num>
  <w:num w:numId="14">
    <w:abstractNumId w:val="15"/>
  </w:num>
  <w:num w:numId="15">
    <w:abstractNumId w:val="2"/>
  </w:num>
  <w:num w:numId="16">
    <w:abstractNumId w:val="23"/>
  </w:num>
  <w:num w:numId="17">
    <w:abstractNumId w:val="13"/>
  </w:num>
  <w:num w:numId="18">
    <w:abstractNumId w:val="26"/>
  </w:num>
  <w:num w:numId="19">
    <w:abstractNumId w:val="19"/>
  </w:num>
  <w:num w:numId="20">
    <w:abstractNumId w:val="12"/>
  </w:num>
  <w:num w:numId="21">
    <w:abstractNumId w:val="20"/>
  </w:num>
  <w:num w:numId="22">
    <w:abstractNumId w:val="3"/>
  </w:num>
  <w:num w:numId="23">
    <w:abstractNumId w:val="11"/>
  </w:num>
  <w:num w:numId="24">
    <w:abstractNumId w:val="0"/>
  </w:num>
  <w:num w:numId="25">
    <w:abstractNumId w:val="21"/>
  </w:num>
  <w:num w:numId="26">
    <w:abstractNumId w:val="17"/>
  </w:num>
  <w:num w:numId="27">
    <w:abstractNumId w:val="16"/>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1E06"/>
    <w:rsid w:val="000167E9"/>
    <w:rsid w:val="0004656C"/>
    <w:rsid w:val="00070CE6"/>
    <w:rsid w:val="0007235D"/>
    <w:rsid w:val="00083D79"/>
    <w:rsid w:val="000943DF"/>
    <w:rsid w:val="000B2540"/>
    <w:rsid w:val="000B4F70"/>
    <w:rsid w:val="000D2044"/>
    <w:rsid w:val="000E00CE"/>
    <w:rsid w:val="000F2D64"/>
    <w:rsid w:val="001061F6"/>
    <w:rsid w:val="00107198"/>
    <w:rsid w:val="00166C72"/>
    <w:rsid w:val="001B07F6"/>
    <w:rsid w:val="001E0430"/>
    <w:rsid w:val="001E4BA4"/>
    <w:rsid w:val="001F2F23"/>
    <w:rsid w:val="001F7929"/>
    <w:rsid w:val="00204218"/>
    <w:rsid w:val="00223160"/>
    <w:rsid w:val="00223EDF"/>
    <w:rsid w:val="0023074D"/>
    <w:rsid w:val="00262F4F"/>
    <w:rsid w:val="00276FC3"/>
    <w:rsid w:val="002A395F"/>
    <w:rsid w:val="002E1D79"/>
    <w:rsid w:val="002F487E"/>
    <w:rsid w:val="003169F0"/>
    <w:rsid w:val="00320C7F"/>
    <w:rsid w:val="003261DA"/>
    <w:rsid w:val="00345783"/>
    <w:rsid w:val="003701E5"/>
    <w:rsid w:val="00374339"/>
    <w:rsid w:val="00374B17"/>
    <w:rsid w:val="003B4EFA"/>
    <w:rsid w:val="003C6F5A"/>
    <w:rsid w:val="003C74F9"/>
    <w:rsid w:val="003D7E9A"/>
    <w:rsid w:val="00415992"/>
    <w:rsid w:val="00426709"/>
    <w:rsid w:val="00460E6B"/>
    <w:rsid w:val="00465A68"/>
    <w:rsid w:val="00486492"/>
    <w:rsid w:val="004A1222"/>
    <w:rsid w:val="004A4EBF"/>
    <w:rsid w:val="004B2B4A"/>
    <w:rsid w:val="004B56DE"/>
    <w:rsid w:val="004D0146"/>
    <w:rsid w:val="004D0D61"/>
    <w:rsid w:val="004D352A"/>
    <w:rsid w:val="004F0F7C"/>
    <w:rsid w:val="004F33D7"/>
    <w:rsid w:val="004F707C"/>
    <w:rsid w:val="005016BA"/>
    <w:rsid w:val="00503945"/>
    <w:rsid w:val="0050470F"/>
    <w:rsid w:val="00512D5E"/>
    <w:rsid w:val="005622EC"/>
    <w:rsid w:val="00563D94"/>
    <w:rsid w:val="00577F27"/>
    <w:rsid w:val="005857F2"/>
    <w:rsid w:val="00594465"/>
    <w:rsid w:val="00596AD0"/>
    <w:rsid w:val="005974F1"/>
    <w:rsid w:val="005A57C6"/>
    <w:rsid w:val="005B2ECB"/>
    <w:rsid w:val="005C210A"/>
    <w:rsid w:val="005D5EBC"/>
    <w:rsid w:val="006366BC"/>
    <w:rsid w:val="006427E3"/>
    <w:rsid w:val="006456C9"/>
    <w:rsid w:val="0067227F"/>
    <w:rsid w:val="00673BA9"/>
    <w:rsid w:val="00675B30"/>
    <w:rsid w:val="006B0FA5"/>
    <w:rsid w:val="006C1F89"/>
    <w:rsid w:val="006D0D3D"/>
    <w:rsid w:val="006D6A53"/>
    <w:rsid w:val="0071574A"/>
    <w:rsid w:val="00716DFB"/>
    <w:rsid w:val="00727BD3"/>
    <w:rsid w:val="00744D10"/>
    <w:rsid w:val="0078182E"/>
    <w:rsid w:val="007A5F8E"/>
    <w:rsid w:val="007B6227"/>
    <w:rsid w:val="007C0FF4"/>
    <w:rsid w:val="007C1A23"/>
    <w:rsid w:val="007C38B3"/>
    <w:rsid w:val="007C3CBF"/>
    <w:rsid w:val="007C50ED"/>
    <w:rsid w:val="007C7201"/>
    <w:rsid w:val="007D31C4"/>
    <w:rsid w:val="007D397F"/>
    <w:rsid w:val="007E196B"/>
    <w:rsid w:val="00843620"/>
    <w:rsid w:val="00854669"/>
    <w:rsid w:val="0086741A"/>
    <w:rsid w:val="00867D5E"/>
    <w:rsid w:val="00870A69"/>
    <w:rsid w:val="00885936"/>
    <w:rsid w:val="0089168C"/>
    <w:rsid w:val="0089697A"/>
    <w:rsid w:val="00897E1E"/>
    <w:rsid w:val="008B32CD"/>
    <w:rsid w:val="008C2D9E"/>
    <w:rsid w:val="008C4F36"/>
    <w:rsid w:val="008D057D"/>
    <w:rsid w:val="008D080C"/>
    <w:rsid w:val="00973D3D"/>
    <w:rsid w:val="0097489F"/>
    <w:rsid w:val="009813E6"/>
    <w:rsid w:val="00985E45"/>
    <w:rsid w:val="009A3B2B"/>
    <w:rsid w:val="009A3CCE"/>
    <w:rsid w:val="009B4598"/>
    <w:rsid w:val="009B684E"/>
    <w:rsid w:val="009F5C00"/>
    <w:rsid w:val="00A82711"/>
    <w:rsid w:val="00AD26E6"/>
    <w:rsid w:val="00AD5172"/>
    <w:rsid w:val="00AD577B"/>
    <w:rsid w:val="00B16F22"/>
    <w:rsid w:val="00B459EF"/>
    <w:rsid w:val="00B56123"/>
    <w:rsid w:val="00B60D1E"/>
    <w:rsid w:val="00B627DE"/>
    <w:rsid w:val="00B9399A"/>
    <w:rsid w:val="00B96DBC"/>
    <w:rsid w:val="00BB20D6"/>
    <w:rsid w:val="00BB3A5A"/>
    <w:rsid w:val="00BC13E8"/>
    <w:rsid w:val="00BC695C"/>
    <w:rsid w:val="00BE4061"/>
    <w:rsid w:val="00BF7AD5"/>
    <w:rsid w:val="00C00D07"/>
    <w:rsid w:val="00C12B7C"/>
    <w:rsid w:val="00C51566"/>
    <w:rsid w:val="00C66630"/>
    <w:rsid w:val="00C72320"/>
    <w:rsid w:val="00C80F7A"/>
    <w:rsid w:val="00CA5375"/>
    <w:rsid w:val="00CC48ED"/>
    <w:rsid w:val="00CE6FF6"/>
    <w:rsid w:val="00CF30D2"/>
    <w:rsid w:val="00CF6051"/>
    <w:rsid w:val="00D459E3"/>
    <w:rsid w:val="00D779D1"/>
    <w:rsid w:val="00E20824"/>
    <w:rsid w:val="00E2692C"/>
    <w:rsid w:val="00E4439F"/>
    <w:rsid w:val="00E667B3"/>
    <w:rsid w:val="00E77CA2"/>
    <w:rsid w:val="00E918CD"/>
    <w:rsid w:val="00E93B19"/>
    <w:rsid w:val="00EA1057"/>
    <w:rsid w:val="00EB612D"/>
    <w:rsid w:val="00EB7175"/>
    <w:rsid w:val="00EC114C"/>
    <w:rsid w:val="00EC5306"/>
    <w:rsid w:val="00ED7AFA"/>
    <w:rsid w:val="00EF226A"/>
    <w:rsid w:val="00EF2C2E"/>
    <w:rsid w:val="00EF78ED"/>
    <w:rsid w:val="00EF79A9"/>
    <w:rsid w:val="00F12FAF"/>
    <w:rsid w:val="00F50A11"/>
    <w:rsid w:val="00F66D5A"/>
    <w:rsid w:val="00F825C8"/>
    <w:rsid w:val="00F9636A"/>
    <w:rsid w:val="00FA531A"/>
    <w:rsid w:val="00FB0AD7"/>
    <w:rsid w:val="00FB7636"/>
    <w:rsid w:val="00FC43F9"/>
    <w:rsid w:val="00FD0B22"/>
    <w:rsid w:val="00FD7FAC"/>
    <w:rsid w:val="00FE59A2"/>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F5C3148"/>
  <w15:docId w15:val="{0DA9C4DA-F9A5-4F3A-8449-1DC9B9A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FA531A"/>
    <w:rPr>
      <w:color w:val="0000FF" w:themeColor="hyperlink"/>
      <w:u w:val="single"/>
    </w:rPr>
  </w:style>
  <w:style w:type="character" w:styleId="FollowedHyperlink">
    <w:name w:val="FollowedHyperlink"/>
    <w:basedOn w:val="DefaultParagraphFont"/>
    <w:uiPriority w:val="99"/>
    <w:semiHidden/>
    <w:unhideWhenUsed/>
    <w:rsid w:val="00E2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62D5-1357-4F48-ACBA-6B6164AE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Vickery Viles</cp:lastModifiedBy>
  <cp:revision>3</cp:revision>
  <cp:lastPrinted>2015-04-14T18:24:00Z</cp:lastPrinted>
  <dcterms:created xsi:type="dcterms:W3CDTF">2018-11-30T23:53:00Z</dcterms:created>
  <dcterms:modified xsi:type="dcterms:W3CDTF">2018-12-01T00:03:00Z</dcterms:modified>
</cp:coreProperties>
</file>